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38" w14:textId="25274CDC" w:rsidR="00CC7DD5" w:rsidRPr="00E2038E" w:rsidRDefault="756F886F" w:rsidP="783E3883">
      <w:pPr>
        <w:spacing w:before="240" w:after="240"/>
        <w:rPr>
          <w:rFonts w:ascii="Aptos" w:hAnsi="Aptos"/>
          <w:b/>
          <w:bCs/>
          <w:color w:val="000000" w:themeColor="text1"/>
          <w:sz w:val="24"/>
          <w:szCs w:val="24"/>
          <w:lang w:val="en-US"/>
        </w:rPr>
      </w:pPr>
      <w:r w:rsidRPr="783E3883">
        <w:rPr>
          <w:rFonts w:ascii="Aptos" w:hAnsi="Aptos"/>
          <w:b/>
          <w:bCs/>
          <w:color w:val="000000" w:themeColor="text1"/>
          <w:sz w:val="24"/>
          <w:szCs w:val="24"/>
        </w:rPr>
        <w:t>MTERA TEMPLATE</w:t>
      </w:r>
      <w:r w:rsidR="0090603B" w:rsidRPr="783E3883">
        <w:rPr>
          <w:rFonts w:ascii="Aptos" w:hAnsi="Aptos"/>
          <w:b/>
          <w:bCs/>
          <w:color w:val="000000" w:themeColor="text1"/>
          <w:sz w:val="24"/>
          <w:szCs w:val="24"/>
        </w:rPr>
        <w:t xml:space="preserve"> COMMENT LETTER</w:t>
      </w:r>
    </w:p>
    <w:p w14:paraId="0C7EF68D" w14:textId="77777777" w:rsidR="00756097" w:rsidRDefault="4DA3A4C1" w:rsidP="783E3883">
      <w:pPr>
        <w:spacing w:before="240" w:after="240"/>
        <w:rPr>
          <w:rFonts w:ascii="Aptos" w:hAnsi="Aptos"/>
          <w:b/>
          <w:bCs/>
          <w:i/>
          <w:iCs/>
          <w:sz w:val="24"/>
          <w:szCs w:val="24"/>
          <w:highlight w:val="yellow"/>
          <w:lang w:val="en-US"/>
        </w:rPr>
      </w:pPr>
      <w:r w:rsidRPr="783E3883">
        <w:rPr>
          <w:rFonts w:ascii="Aptos" w:hAnsi="Aptos"/>
          <w:b/>
          <w:bCs/>
          <w:sz w:val="24"/>
          <w:szCs w:val="24"/>
          <w:highlight w:val="yellow"/>
          <w:u w:val="single"/>
          <w:lang w:val="en-US"/>
        </w:rPr>
        <w:t>NOTE</w:t>
      </w:r>
      <w:r w:rsidRPr="783E3883">
        <w:rPr>
          <w:rFonts w:ascii="Aptos" w:hAnsi="Aptos"/>
          <w:b/>
          <w:bCs/>
          <w:sz w:val="24"/>
          <w:szCs w:val="24"/>
          <w:highlight w:val="yellow"/>
          <w:lang w:val="en-US"/>
        </w:rPr>
        <w:t xml:space="preserve">: </w:t>
      </w:r>
      <w:r w:rsidR="27AD17FC" w:rsidRPr="783E3883">
        <w:rPr>
          <w:rFonts w:ascii="Aptos" w:hAnsi="Aptos"/>
          <w:b/>
          <w:bCs/>
          <w:sz w:val="24"/>
          <w:szCs w:val="24"/>
          <w:highlight w:val="yellow"/>
          <w:lang w:val="en-US"/>
        </w:rPr>
        <w:t xml:space="preserve"> </w:t>
      </w:r>
      <w:r w:rsidRPr="783E3883">
        <w:rPr>
          <w:rFonts w:ascii="Aptos" w:hAnsi="Aptos"/>
          <w:b/>
          <w:bCs/>
          <w:sz w:val="24"/>
          <w:szCs w:val="24"/>
          <w:highlight w:val="yellow"/>
          <w:lang w:val="en-US"/>
        </w:rPr>
        <w:t>M</w:t>
      </w:r>
      <w:r w:rsidRPr="783E3883">
        <w:rPr>
          <w:rFonts w:ascii="Aptos" w:hAnsi="Aptos"/>
          <w:b/>
          <w:bCs/>
          <w:i/>
          <w:iCs/>
          <w:sz w:val="24"/>
          <w:szCs w:val="24"/>
          <w:highlight w:val="yellow"/>
          <w:lang w:val="en-US"/>
        </w:rPr>
        <w:t xml:space="preserve">TERA recommends that you begin your comment letter with introductory remarks regarding the signatory’s position within the Tribe. The more individualized the letter, the greater its potential impact. Feel free to add your own arguments or specific stories that will make this educational for the MI PSC. </w:t>
      </w:r>
    </w:p>
    <w:p w14:paraId="05813A23" w14:textId="5E9EC881" w:rsidR="00CC7DD5" w:rsidRPr="00E2038E" w:rsidRDefault="4DA3A4C1" w:rsidP="783E3883">
      <w:pPr>
        <w:spacing w:before="240" w:after="240"/>
        <w:rPr>
          <w:rFonts w:ascii="Aptos" w:hAnsi="Aptos"/>
          <w:b/>
          <w:bCs/>
          <w:i/>
          <w:iCs/>
          <w:sz w:val="24"/>
          <w:szCs w:val="24"/>
          <w:highlight w:val="yellow"/>
          <w:lang w:val="en-US"/>
        </w:rPr>
      </w:pPr>
      <w:r w:rsidRPr="783E3883">
        <w:rPr>
          <w:rFonts w:ascii="Aptos" w:hAnsi="Aptos"/>
          <w:b/>
          <w:bCs/>
          <w:i/>
          <w:iCs/>
          <w:sz w:val="24"/>
          <w:szCs w:val="24"/>
          <w:highlight w:val="yellow"/>
          <w:lang w:val="en-US"/>
        </w:rPr>
        <w:t>Be sure to replace the highlighted text with your own text.</w:t>
      </w:r>
    </w:p>
    <w:p w14:paraId="4A86A465" w14:textId="062159DD" w:rsidR="00CC7DD5" w:rsidRPr="00E2038E" w:rsidRDefault="4DA3A4C1" w:rsidP="783E3883">
      <w:pPr>
        <w:spacing w:before="240" w:after="240"/>
        <w:rPr>
          <w:rFonts w:ascii="Aptos" w:hAnsi="Aptos"/>
          <w:sz w:val="24"/>
          <w:szCs w:val="24"/>
        </w:rPr>
      </w:pPr>
      <w:r w:rsidRPr="783E3883">
        <w:rPr>
          <w:rFonts w:ascii="Aptos" w:hAnsi="Aptos"/>
          <w:b/>
          <w:bCs/>
          <w:i/>
          <w:iCs/>
          <w:sz w:val="24"/>
          <w:szCs w:val="24"/>
          <w:highlight w:val="yellow"/>
          <w:lang w:val="en-US"/>
        </w:rPr>
        <w:t xml:space="preserve">The comment deadline is October 31, 2025.  Your comment letter can be submitted electronically to </w:t>
      </w:r>
      <w:hyperlink r:id="rId10">
        <w:r w:rsidR="3DDE3A28" w:rsidRPr="783E3883">
          <w:rPr>
            <w:rStyle w:val="Hyperlink"/>
            <w:rFonts w:ascii="Aptos" w:hAnsi="Aptos"/>
            <w:sz w:val="24"/>
            <w:szCs w:val="24"/>
            <w:highlight w:val="yellow"/>
          </w:rPr>
          <w:t>LARA-MPSC-Edockets@michigan.gov</w:t>
        </w:r>
      </w:hyperlink>
      <w:r w:rsidR="3DDE3A28" w:rsidRPr="783E3883">
        <w:rPr>
          <w:rFonts w:ascii="Aptos" w:hAnsi="Aptos"/>
          <w:sz w:val="24"/>
          <w:szCs w:val="24"/>
        </w:rPr>
        <w:t xml:space="preserve"> </w:t>
      </w:r>
    </w:p>
    <w:p w14:paraId="0000003A" w14:textId="423694B8" w:rsidR="00CC7DD5" w:rsidRPr="00E2038E" w:rsidRDefault="0090603B" w:rsidP="783E3883">
      <w:pPr>
        <w:spacing w:before="240" w:after="240"/>
        <w:rPr>
          <w:rFonts w:ascii="Aptos" w:hAnsi="Aptos"/>
          <w:b/>
          <w:bCs/>
          <w:sz w:val="24"/>
          <w:szCs w:val="24"/>
        </w:rPr>
      </w:pPr>
      <w:r>
        <w:br/>
      </w:r>
      <w:r w:rsidRPr="783E3883">
        <w:rPr>
          <w:rFonts w:ascii="Aptos" w:hAnsi="Aptos"/>
          <w:b/>
          <w:bCs/>
          <w:sz w:val="24"/>
          <w:szCs w:val="24"/>
        </w:rPr>
        <w:t>RE: Case No. U-21867 — Comments on Draft IRP/MIRPP/Clean Energy Plan Filing Requirements</w:t>
      </w:r>
    </w:p>
    <w:p w14:paraId="0000003C" w14:textId="5DDC5916" w:rsidR="00CC7DD5" w:rsidRPr="00E2038E" w:rsidRDefault="18B7123B" w:rsidP="00E2038E">
      <w:pPr>
        <w:spacing w:before="240" w:after="240"/>
        <w:rPr>
          <w:rFonts w:ascii="Aptos" w:hAnsi="Aptos"/>
          <w:sz w:val="24"/>
          <w:szCs w:val="24"/>
        </w:rPr>
      </w:pPr>
      <w:r w:rsidRPr="783E3883">
        <w:rPr>
          <w:rFonts w:ascii="Aptos" w:hAnsi="Aptos"/>
          <w:sz w:val="24"/>
          <w:szCs w:val="24"/>
        </w:rPr>
        <w:t>October 31, 2025</w:t>
      </w:r>
    </w:p>
    <w:p w14:paraId="0000003D" w14:textId="17BA7F36" w:rsidR="00CC7DD5" w:rsidRPr="00E2038E" w:rsidRDefault="0090603B">
      <w:pPr>
        <w:spacing w:before="240" w:after="240"/>
        <w:rPr>
          <w:rFonts w:ascii="Aptos" w:hAnsi="Aptos"/>
          <w:sz w:val="24"/>
          <w:szCs w:val="24"/>
        </w:rPr>
      </w:pPr>
      <w:r w:rsidRPr="00E2038E">
        <w:rPr>
          <w:rFonts w:ascii="Aptos" w:hAnsi="Aptos"/>
          <w:sz w:val="24"/>
          <w:szCs w:val="24"/>
        </w:rPr>
        <w:t>Michigan Public Service Commission</w:t>
      </w:r>
      <w:r w:rsidRPr="00E2038E">
        <w:rPr>
          <w:rFonts w:ascii="Aptos" w:hAnsi="Aptos"/>
          <w:sz w:val="24"/>
          <w:szCs w:val="24"/>
        </w:rPr>
        <w:br/>
        <w:t>P.O. Box 30221</w:t>
      </w:r>
      <w:r w:rsidRPr="00E2038E">
        <w:rPr>
          <w:rFonts w:ascii="Aptos" w:hAnsi="Aptos"/>
          <w:sz w:val="24"/>
          <w:szCs w:val="24"/>
        </w:rPr>
        <w:br/>
        <w:t>Lansing, MI 48909</w:t>
      </w:r>
      <w:r w:rsidRPr="00E2038E">
        <w:rPr>
          <w:rFonts w:ascii="Aptos" w:hAnsi="Aptos"/>
          <w:sz w:val="24"/>
          <w:szCs w:val="24"/>
        </w:rPr>
        <w:br/>
        <w:t xml:space="preserve">Email: </w:t>
      </w:r>
      <w:hyperlink r:id="rId11" w:history="1">
        <w:r w:rsidR="008A2551" w:rsidRPr="00222B96">
          <w:rPr>
            <w:rStyle w:val="Hyperlink"/>
            <w:rFonts w:ascii="Aptos" w:hAnsi="Aptos"/>
            <w:sz w:val="24"/>
            <w:szCs w:val="24"/>
          </w:rPr>
          <w:t>LARA-MPSC-Edockets@michigan.gov</w:t>
        </w:r>
      </w:hyperlink>
      <w:r w:rsidR="008A2551">
        <w:rPr>
          <w:rFonts w:ascii="Aptos" w:hAnsi="Aptos"/>
          <w:sz w:val="24"/>
          <w:szCs w:val="24"/>
        </w:rPr>
        <w:t xml:space="preserve"> </w:t>
      </w:r>
    </w:p>
    <w:p w14:paraId="0000003E" w14:textId="77777777" w:rsidR="00CC7DD5" w:rsidRPr="00E2038E" w:rsidRDefault="0090603B">
      <w:pPr>
        <w:spacing w:before="240" w:after="240"/>
        <w:rPr>
          <w:rFonts w:ascii="Aptos" w:hAnsi="Aptos"/>
          <w:sz w:val="24"/>
          <w:szCs w:val="24"/>
        </w:rPr>
      </w:pPr>
      <w:r w:rsidRPr="00E2038E">
        <w:rPr>
          <w:rFonts w:ascii="Aptos" w:hAnsi="Aptos"/>
          <w:sz w:val="24"/>
          <w:szCs w:val="24"/>
        </w:rPr>
        <w:t>To the Commission:</w:t>
      </w:r>
    </w:p>
    <w:p w14:paraId="0000003F" w14:textId="48F46078" w:rsidR="00CC7DD5" w:rsidRPr="00E2038E" w:rsidRDefault="0090603B">
      <w:pPr>
        <w:spacing w:before="240" w:after="240"/>
        <w:rPr>
          <w:rFonts w:ascii="Aptos" w:hAnsi="Aptos"/>
          <w:sz w:val="24"/>
          <w:szCs w:val="24"/>
        </w:rPr>
      </w:pPr>
      <w:r w:rsidRPr="783E3883">
        <w:rPr>
          <w:rFonts w:ascii="Aptos" w:hAnsi="Aptos"/>
          <w:sz w:val="24"/>
          <w:szCs w:val="24"/>
          <w:lang w:val="en-US"/>
        </w:rPr>
        <w:t xml:space="preserve">On behalf </w:t>
      </w:r>
      <w:r w:rsidRPr="00756097">
        <w:rPr>
          <w:rFonts w:ascii="Aptos" w:hAnsi="Aptos"/>
          <w:sz w:val="24"/>
          <w:szCs w:val="24"/>
          <w:lang w:val="en-US"/>
        </w:rPr>
        <w:t>of</w:t>
      </w:r>
      <w:r w:rsidR="003E30AB">
        <w:rPr>
          <w:rFonts w:ascii="Aptos" w:hAnsi="Aptos"/>
          <w:sz w:val="24"/>
          <w:szCs w:val="24"/>
          <w:lang w:val="en-US"/>
        </w:rPr>
        <w:t xml:space="preserve"> the</w:t>
      </w:r>
      <w:r w:rsidRPr="00756097">
        <w:rPr>
          <w:rFonts w:ascii="Aptos" w:hAnsi="Aptos"/>
          <w:sz w:val="24"/>
          <w:szCs w:val="24"/>
          <w:lang w:val="en-US"/>
        </w:rPr>
        <w:t xml:space="preserve"> </w:t>
      </w:r>
      <w:r w:rsidR="00E2038E" w:rsidRPr="783E3883">
        <w:rPr>
          <w:rFonts w:ascii="Aptos" w:hAnsi="Aptos"/>
          <w:sz w:val="24"/>
          <w:szCs w:val="24"/>
          <w:highlight w:val="yellow"/>
          <w:lang w:val="en-US"/>
        </w:rPr>
        <w:t>________</w:t>
      </w:r>
      <w:r w:rsidRPr="783E3883">
        <w:rPr>
          <w:rFonts w:ascii="Aptos" w:hAnsi="Aptos"/>
          <w:sz w:val="24"/>
          <w:szCs w:val="24"/>
          <w:highlight w:val="yellow"/>
          <w:lang w:val="en-US"/>
        </w:rPr>
        <w:t>[Tribe name],</w:t>
      </w:r>
      <w:r w:rsidRPr="783E3883">
        <w:rPr>
          <w:rFonts w:ascii="Aptos" w:hAnsi="Aptos"/>
          <w:sz w:val="24"/>
          <w:szCs w:val="24"/>
          <w:lang w:val="en-US"/>
        </w:rPr>
        <w:t xml:space="preserve"> we submit the following comments on the draft Michigan Integrated Resource Planning Parameters (MIRPP) and Integrated Resource Plan (IRP) filing requirements in Case No. U-21867.</w:t>
      </w:r>
    </w:p>
    <w:p w14:paraId="00000040" w14:textId="77777777" w:rsidR="00CC7DD5" w:rsidRPr="00E2038E" w:rsidRDefault="0090603B">
      <w:pPr>
        <w:spacing w:before="240" w:after="240"/>
        <w:rPr>
          <w:rFonts w:ascii="Aptos" w:hAnsi="Aptos"/>
          <w:sz w:val="24"/>
          <w:szCs w:val="24"/>
        </w:rPr>
      </w:pPr>
      <w:r w:rsidRPr="00E2038E">
        <w:rPr>
          <w:rFonts w:ascii="Aptos" w:hAnsi="Aptos"/>
          <w:sz w:val="24"/>
          <w:szCs w:val="24"/>
        </w:rPr>
        <w:t>We commend the Commission for:</w:t>
      </w:r>
    </w:p>
    <w:p w14:paraId="63BD629F" w14:textId="77777777" w:rsidR="00050174" w:rsidRPr="00050174" w:rsidRDefault="00050174" w:rsidP="00050174">
      <w:pPr>
        <w:pStyle w:val="ListParagraph"/>
        <w:numPr>
          <w:ilvl w:val="0"/>
          <w:numId w:val="14"/>
        </w:numPr>
        <w:spacing w:after="240"/>
        <w:rPr>
          <w:rFonts w:ascii="Aptos" w:hAnsi="Aptos"/>
          <w:sz w:val="24"/>
          <w:szCs w:val="24"/>
        </w:rPr>
      </w:pPr>
      <w:r w:rsidRPr="00050174">
        <w:rPr>
          <w:rFonts w:ascii="Aptos" w:hAnsi="Aptos"/>
          <w:sz w:val="24"/>
          <w:szCs w:val="24"/>
        </w:rPr>
        <w:t xml:space="preserve">Recognizing environmental justice and equity in utility planning processes </w:t>
      </w:r>
    </w:p>
    <w:p w14:paraId="737D53F6" w14:textId="77777777" w:rsidR="00050174" w:rsidRPr="00050174" w:rsidRDefault="00050174" w:rsidP="00050174">
      <w:pPr>
        <w:pStyle w:val="ListParagraph"/>
        <w:numPr>
          <w:ilvl w:val="0"/>
          <w:numId w:val="14"/>
        </w:numPr>
        <w:spacing w:after="240"/>
        <w:rPr>
          <w:rFonts w:ascii="Aptos" w:hAnsi="Aptos"/>
          <w:sz w:val="24"/>
          <w:szCs w:val="24"/>
        </w:rPr>
      </w:pPr>
      <w:r w:rsidRPr="00050174">
        <w:rPr>
          <w:rFonts w:ascii="Aptos" w:hAnsi="Aptos"/>
          <w:sz w:val="24"/>
          <w:szCs w:val="24"/>
        </w:rPr>
        <w:t xml:space="preserve">Including electrification assessments for transportation, buildings, and industry </w:t>
      </w:r>
    </w:p>
    <w:p w14:paraId="2A0AFB48" w14:textId="77777777" w:rsidR="00050174" w:rsidRPr="00050174" w:rsidRDefault="00050174" w:rsidP="00050174">
      <w:pPr>
        <w:pStyle w:val="ListParagraph"/>
        <w:numPr>
          <w:ilvl w:val="0"/>
          <w:numId w:val="14"/>
        </w:numPr>
        <w:spacing w:after="240"/>
        <w:rPr>
          <w:rFonts w:ascii="Aptos" w:hAnsi="Aptos"/>
          <w:sz w:val="24"/>
          <w:szCs w:val="24"/>
        </w:rPr>
      </w:pPr>
      <w:r w:rsidRPr="00050174">
        <w:rPr>
          <w:rFonts w:ascii="Aptos" w:hAnsi="Aptos"/>
          <w:sz w:val="24"/>
          <w:szCs w:val="24"/>
        </w:rPr>
        <w:t xml:space="preserve">Encouraging demand-side solutions, such as demand response and energy waste reduction </w:t>
      </w:r>
    </w:p>
    <w:p w14:paraId="0256B6D4" w14:textId="77777777" w:rsidR="00050174" w:rsidRPr="00050174" w:rsidRDefault="00050174" w:rsidP="00050174">
      <w:pPr>
        <w:pStyle w:val="ListParagraph"/>
        <w:numPr>
          <w:ilvl w:val="0"/>
          <w:numId w:val="14"/>
        </w:numPr>
        <w:spacing w:after="240"/>
        <w:rPr>
          <w:rFonts w:ascii="Aptos" w:hAnsi="Aptos"/>
          <w:sz w:val="24"/>
          <w:szCs w:val="24"/>
        </w:rPr>
      </w:pPr>
      <w:r w:rsidRPr="00050174">
        <w:rPr>
          <w:rFonts w:ascii="Aptos" w:hAnsi="Aptos"/>
          <w:sz w:val="24"/>
          <w:szCs w:val="24"/>
        </w:rPr>
        <w:t xml:space="preserve">Creating separate filing tracks for different provider types, including municipal and cooperative utilities </w:t>
      </w:r>
    </w:p>
    <w:p w14:paraId="53B082EF" w14:textId="77777777" w:rsidR="00050174" w:rsidRPr="00050174" w:rsidRDefault="00050174" w:rsidP="00050174">
      <w:pPr>
        <w:pStyle w:val="ListParagraph"/>
        <w:numPr>
          <w:ilvl w:val="0"/>
          <w:numId w:val="14"/>
        </w:numPr>
        <w:spacing w:after="240"/>
        <w:rPr>
          <w:rFonts w:ascii="Aptos" w:hAnsi="Aptos"/>
          <w:sz w:val="24"/>
          <w:szCs w:val="24"/>
        </w:rPr>
      </w:pPr>
      <w:r w:rsidRPr="00050174">
        <w:rPr>
          <w:rFonts w:ascii="Aptos" w:hAnsi="Aptos"/>
          <w:sz w:val="24"/>
          <w:szCs w:val="24"/>
        </w:rPr>
        <w:t xml:space="preserve">Making this a public and transparent process, with hearings and public comment opportunities </w:t>
      </w:r>
    </w:p>
    <w:p w14:paraId="0FD9A38B" w14:textId="1365F320" w:rsidR="00E2038E" w:rsidRPr="00E2038E" w:rsidRDefault="00E2038E" w:rsidP="783E3883">
      <w:pPr>
        <w:spacing w:after="240"/>
        <w:rPr>
          <w:rFonts w:ascii="Aptos" w:hAnsi="Aptos"/>
          <w:sz w:val="24"/>
          <w:szCs w:val="24"/>
          <w:lang w:val="en-US"/>
        </w:rPr>
      </w:pPr>
      <w:r w:rsidRPr="783E3883">
        <w:rPr>
          <w:rFonts w:ascii="Aptos" w:hAnsi="Aptos"/>
          <w:b/>
          <w:bCs/>
          <w:sz w:val="24"/>
          <w:szCs w:val="24"/>
          <w:highlight w:val="yellow"/>
          <w:lang w:val="en-US"/>
        </w:rPr>
        <w:lastRenderedPageBreak/>
        <w:t>________ [Tribe Name]</w:t>
      </w:r>
      <w:r w:rsidRPr="783E3883">
        <w:rPr>
          <w:rFonts w:ascii="Aptos" w:hAnsi="Aptos"/>
          <w:sz w:val="24"/>
          <w:szCs w:val="24"/>
          <w:highlight w:val="yellow"/>
          <w:lang w:val="en-US"/>
        </w:rPr>
        <w:t xml:space="preserve"> is served by ________[Utility/IOU Name] in </w:t>
      </w:r>
      <w:r w:rsidR="00050174" w:rsidRPr="783E3883">
        <w:rPr>
          <w:rFonts w:ascii="Aptos" w:hAnsi="Aptos"/>
          <w:sz w:val="24"/>
          <w:szCs w:val="24"/>
          <w:highlight w:val="yellow"/>
          <w:lang w:val="en-US"/>
        </w:rPr>
        <w:t>______</w:t>
      </w:r>
      <w:r w:rsidRPr="783E3883">
        <w:rPr>
          <w:rFonts w:ascii="Aptos" w:hAnsi="Aptos"/>
          <w:sz w:val="24"/>
          <w:szCs w:val="24"/>
          <w:highlight w:val="yellow"/>
          <w:lang w:val="en-US"/>
        </w:rPr>
        <w:t xml:space="preserve"> </w:t>
      </w:r>
      <w:r w:rsidR="00050174" w:rsidRPr="783E3883">
        <w:rPr>
          <w:rFonts w:ascii="Aptos" w:hAnsi="Aptos"/>
          <w:sz w:val="24"/>
          <w:szCs w:val="24"/>
          <w:highlight w:val="yellow"/>
          <w:lang w:val="en-US"/>
        </w:rPr>
        <w:t xml:space="preserve">[City or </w:t>
      </w:r>
      <w:r w:rsidRPr="783E3883">
        <w:rPr>
          <w:rFonts w:ascii="Aptos" w:hAnsi="Aptos"/>
          <w:sz w:val="24"/>
          <w:szCs w:val="24"/>
          <w:highlight w:val="yellow"/>
          <w:lang w:val="en-US"/>
        </w:rPr>
        <w:t>service area</w:t>
      </w:r>
      <w:r w:rsidR="00050174" w:rsidRPr="783E3883">
        <w:rPr>
          <w:rFonts w:ascii="Aptos" w:hAnsi="Aptos"/>
          <w:sz w:val="24"/>
          <w:szCs w:val="24"/>
          <w:highlight w:val="yellow"/>
          <w:lang w:val="en-US"/>
        </w:rPr>
        <w:t>]</w:t>
      </w:r>
      <w:r w:rsidRPr="783E3883">
        <w:rPr>
          <w:rFonts w:ascii="Aptos" w:hAnsi="Aptos"/>
          <w:sz w:val="24"/>
          <w:szCs w:val="24"/>
          <w:highlight w:val="yellow"/>
          <w:lang w:val="en-US"/>
        </w:rPr>
        <w:t>, and our Tribal members are directly impacted by this utility’s Integrated Resource Plan (IRP) and Clean Energy Plan (CEP) processes. Tribal members from</w:t>
      </w:r>
      <w:r w:rsidR="3DF6125C" w:rsidRPr="783E3883">
        <w:rPr>
          <w:rFonts w:ascii="Aptos" w:hAnsi="Aptos"/>
          <w:sz w:val="24"/>
          <w:szCs w:val="24"/>
          <w:highlight w:val="yellow"/>
          <w:lang w:val="en-US"/>
        </w:rPr>
        <w:t xml:space="preserve"> the</w:t>
      </w:r>
      <w:r w:rsidRPr="783E3883">
        <w:rPr>
          <w:rFonts w:ascii="Aptos" w:hAnsi="Aptos"/>
          <w:sz w:val="24"/>
          <w:szCs w:val="24"/>
          <w:highlight w:val="yellow"/>
          <w:lang w:val="en-US"/>
        </w:rPr>
        <w:t xml:space="preserve"> ___________ [Tribe</w:t>
      </w:r>
      <w:r w:rsidRPr="783E3883">
        <w:rPr>
          <w:rFonts w:ascii="Aptos" w:hAnsi="Aptos"/>
          <w:sz w:val="24"/>
          <w:szCs w:val="24"/>
          <w:lang w:val="en-US"/>
        </w:rPr>
        <w:t xml:space="preserve"> </w:t>
      </w:r>
      <w:r w:rsidRPr="783E3883">
        <w:rPr>
          <w:rFonts w:ascii="Aptos" w:hAnsi="Aptos"/>
          <w:sz w:val="24"/>
          <w:szCs w:val="24"/>
          <w:highlight w:val="yellow"/>
          <w:lang w:val="en-US"/>
        </w:rPr>
        <w:t>Name]</w:t>
      </w:r>
      <w:r w:rsidRPr="783E3883">
        <w:rPr>
          <w:rFonts w:ascii="Aptos" w:hAnsi="Aptos"/>
          <w:sz w:val="24"/>
          <w:szCs w:val="24"/>
          <w:lang w:val="en-US"/>
        </w:rPr>
        <w:t xml:space="preserve"> deserve to have their voices heard in the planning, development, and implementation of clean energy programs. We urge the Commission to ensure meaningful consultation with our Tribal government, incorporate Tribal-specific energy needs and growth projections, and expand equitable access to renewable energy options for our community.</w:t>
      </w:r>
    </w:p>
    <w:p w14:paraId="08655022" w14:textId="31E35D47" w:rsidR="08C88291" w:rsidRDefault="08C88291" w:rsidP="783E3883">
      <w:pPr>
        <w:jc w:val="center"/>
        <w:rPr>
          <w:rFonts w:ascii="Aptos" w:eastAsia="Aptos" w:hAnsi="Aptos" w:cs="Aptos"/>
          <w:color w:val="000000" w:themeColor="text1"/>
          <w:sz w:val="24"/>
          <w:szCs w:val="24"/>
          <w:lang w:val="en-US"/>
        </w:rPr>
      </w:pPr>
      <w:r w:rsidRPr="783E3883">
        <w:rPr>
          <w:rFonts w:ascii="Aptos" w:eastAsia="Aptos" w:hAnsi="Aptos" w:cs="Aptos"/>
          <w:b/>
          <w:bCs/>
          <w:color w:val="000000" w:themeColor="text1"/>
          <w:sz w:val="24"/>
          <w:szCs w:val="24"/>
          <w:u w:val="single"/>
        </w:rPr>
        <w:t>TRIBAL ENERGY CONTEXT: BARRIERS AND CHALLENGES</w:t>
      </w:r>
    </w:p>
    <w:p w14:paraId="4DEE1600" w14:textId="1E6B95D5" w:rsidR="783E3883" w:rsidRDefault="783E3883" w:rsidP="783E3883">
      <w:pPr>
        <w:rPr>
          <w:rFonts w:ascii="Aptos" w:eastAsia="Aptos" w:hAnsi="Aptos" w:cs="Aptos"/>
          <w:color w:val="000000" w:themeColor="text1"/>
          <w:sz w:val="24"/>
          <w:szCs w:val="24"/>
          <w:lang w:val="en-US"/>
        </w:rPr>
      </w:pPr>
    </w:p>
    <w:p w14:paraId="7245A64F" w14:textId="610793F7" w:rsidR="08C88291" w:rsidRDefault="08C88291" w:rsidP="783E3883">
      <w:pPr>
        <w:rPr>
          <w:rFonts w:ascii="Aptos" w:eastAsia="Aptos" w:hAnsi="Aptos" w:cs="Aptos"/>
          <w:color w:val="000000" w:themeColor="text1"/>
          <w:sz w:val="24"/>
          <w:szCs w:val="24"/>
          <w:lang w:val="en-US"/>
        </w:rPr>
      </w:pPr>
      <w:r w:rsidRPr="783E3883">
        <w:rPr>
          <w:rFonts w:ascii="Aptos" w:eastAsia="Aptos" w:hAnsi="Aptos" w:cs="Aptos"/>
          <w:b/>
          <w:bCs/>
          <w:color w:val="000000" w:themeColor="text1"/>
          <w:sz w:val="24"/>
          <w:szCs w:val="24"/>
          <w:lang w:val="en-US"/>
        </w:rPr>
        <w:t xml:space="preserve">Historic Disinvestment: </w:t>
      </w:r>
      <w:r w:rsidRPr="783E3883">
        <w:rPr>
          <w:rFonts w:ascii="Aptos" w:eastAsia="Aptos" w:hAnsi="Aptos" w:cs="Aptos"/>
          <w:color w:val="000000" w:themeColor="text1"/>
          <w:sz w:val="24"/>
          <w:szCs w:val="24"/>
          <w:lang w:val="en-US"/>
        </w:rPr>
        <w:t>Tribal Nations have experienced historic and current dis-investment and barriers to participating in energy planning that benefit community members and allow Tribes to have a voice in energy planning and delivery. Tribal governments within Michigan are building their capacity to develop energy projects and contribute to the growing energy demands within the state and the region, and they need a seat at the table to be an influential part of the plan.</w:t>
      </w:r>
    </w:p>
    <w:p w14:paraId="3D5C23A8" w14:textId="6EEAE4E6" w:rsidR="783E3883" w:rsidRDefault="783E3883" w:rsidP="783E3883">
      <w:pPr>
        <w:rPr>
          <w:rFonts w:ascii="Aptos" w:eastAsia="Aptos" w:hAnsi="Aptos" w:cs="Aptos"/>
          <w:color w:val="000000" w:themeColor="text1"/>
          <w:sz w:val="24"/>
          <w:szCs w:val="24"/>
          <w:lang w:val="en-US"/>
        </w:rPr>
      </w:pPr>
    </w:p>
    <w:p w14:paraId="780DF31A" w14:textId="762BEC3B" w:rsidR="08C88291" w:rsidRDefault="08C88291" w:rsidP="783E3883">
      <w:pPr>
        <w:rPr>
          <w:rFonts w:ascii="Aptos" w:eastAsia="Aptos" w:hAnsi="Aptos" w:cs="Aptos"/>
          <w:color w:val="000000" w:themeColor="text1"/>
          <w:sz w:val="24"/>
          <w:szCs w:val="24"/>
          <w:lang w:val="en-US"/>
        </w:rPr>
      </w:pPr>
      <w:r w:rsidRPr="783E3883">
        <w:rPr>
          <w:rFonts w:ascii="Aptos" w:eastAsia="Aptos" w:hAnsi="Aptos" w:cs="Aptos"/>
          <w:b/>
          <w:bCs/>
          <w:color w:val="000000" w:themeColor="text1"/>
          <w:sz w:val="24"/>
          <w:szCs w:val="24"/>
          <w:lang w:val="en-US"/>
        </w:rPr>
        <w:t xml:space="preserve">Lack of Acknowledgement of Economic Impact: </w:t>
      </w:r>
      <w:r w:rsidRPr="783E3883">
        <w:rPr>
          <w:rFonts w:ascii="Aptos" w:eastAsia="Aptos" w:hAnsi="Aptos" w:cs="Aptos"/>
          <w:color w:val="000000" w:themeColor="text1"/>
          <w:sz w:val="24"/>
          <w:szCs w:val="24"/>
        </w:rPr>
        <w:t xml:space="preserve">Tribal Nations within Michigan have a growing and sustained impact on the economy and sustainability of Michigan and as such, must be included in state-wide energy planning. A </w:t>
      </w:r>
      <w:hyperlink r:id="rId12">
        <w:r w:rsidRPr="783E3883">
          <w:rPr>
            <w:rStyle w:val="Hyperlink"/>
            <w:rFonts w:ascii="Aptos" w:eastAsia="Aptos" w:hAnsi="Aptos" w:cs="Aptos"/>
            <w:sz w:val="24"/>
            <w:szCs w:val="24"/>
          </w:rPr>
          <w:t>recent study by the firm Waséyabek</w:t>
        </w:r>
      </w:hyperlink>
      <w:r w:rsidRPr="783E3883">
        <w:rPr>
          <w:rFonts w:ascii="Aptos" w:eastAsia="Aptos" w:hAnsi="Aptos" w:cs="Aptos"/>
          <w:color w:val="000000" w:themeColor="text1"/>
          <w:sz w:val="24"/>
          <w:szCs w:val="24"/>
        </w:rPr>
        <w:t xml:space="preserve"> found that in 2024, Michigan’s Tribal Business Entities (TBEs), 78 non-gaming business entities, owned and managed by all 12 federally recognized Tribes in Michigan, contributed a total economic impact of $1.24 billion in 2024. On average, TBEs have been in operation for 15.3 years, with an average revenue of $10.32 million per entity. In terms of employment, Michigan Tribes collectively employed 2,819 workers (direct), with an average wage (direct) of $59,971. The Tribes also reported total business assets of $1.49 billion and a combined net worth of approximately $1.25 billion. These figures reflect not only financial strength, but the disciplined governance and long-term planning that have enabled Michigan Tribes to build stable and diversified business portfolios. Despite the many economic benefits Tribes bring to Michigan, they are often forgotten or left out of energy planning when key decisions or plans are made by IOUs and state agencies. </w:t>
      </w:r>
    </w:p>
    <w:p w14:paraId="27E632A7" w14:textId="613BCB46" w:rsidR="08C88291" w:rsidRDefault="08C88291" w:rsidP="783E3883">
      <w:pPr>
        <w:rPr>
          <w:rFonts w:ascii="Aptos" w:eastAsia="Aptos" w:hAnsi="Aptos" w:cs="Aptos"/>
          <w:color w:val="000000" w:themeColor="text1"/>
          <w:sz w:val="24"/>
          <w:szCs w:val="24"/>
          <w:lang w:val="en-US"/>
        </w:rPr>
      </w:pPr>
      <w:r w:rsidRPr="783E3883">
        <w:rPr>
          <w:rFonts w:ascii="Aptos" w:eastAsia="Aptos" w:hAnsi="Aptos" w:cs="Aptos"/>
          <w:color w:val="000000" w:themeColor="text1"/>
          <w:sz w:val="24"/>
          <w:szCs w:val="24"/>
          <w:lang w:val="en-US"/>
        </w:rPr>
        <w:t> </w:t>
      </w:r>
    </w:p>
    <w:p w14:paraId="14AA7DEB" w14:textId="2D9A2660" w:rsidR="08C88291" w:rsidRDefault="08C88291" w:rsidP="783E3883">
      <w:pPr>
        <w:rPr>
          <w:rFonts w:ascii="Aptos" w:eastAsia="Aptos" w:hAnsi="Aptos" w:cs="Aptos"/>
          <w:color w:val="000000" w:themeColor="text1"/>
          <w:sz w:val="24"/>
          <w:szCs w:val="24"/>
          <w:lang w:val="en-US"/>
        </w:rPr>
      </w:pPr>
      <w:r w:rsidRPr="783E3883">
        <w:rPr>
          <w:rFonts w:ascii="Aptos" w:eastAsia="Aptos" w:hAnsi="Aptos" w:cs="Aptos"/>
          <w:b/>
          <w:bCs/>
          <w:color w:val="000000" w:themeColor="text1"/>
          <w:sz w:val="24"/>
          <w:szCs w:val="24"/>
          <w:lang w:val="en-US"/>
        </w:rPr>
        <w:t>Challenging Regulatory Environment in Michigan:</w:t>
      </w:r>
      <w:r w:rsidRPr="783E3883">
        <w:rPr>
          <w:rFonts w:ascii="Aptos" w:eastAsia="Aptos" w:hAnsi="Aptos" w:cs="Aptos"/>
          <w:color w:val="000000" w:themeColor="text1"/>
          <w:sz w:val="24"/>
          <w:szCs w:val="24"/>
          <w:lang w:val="en-US"/>
        </w:rPr>
        <w:t xml:space="preserve"> Due to state laws and utility regulations, Tribes face a challenging environment for solar deployment, including: </w:t>
      </w:r>
    </w:p>
    <w:p w14:paraId="3C007EB9" w14:textId="782103AD" w:rsidR="783E3883" w:rsidRDefault="783E3883" w:rsidP="783E3883">
      <w:pPr>
        <w:rPr>
          <w:rFonts w:ascii="Aptos" w:eastAsia="Aptos" w:hAnsi="Aptos" w:cs="Aptos"/>
          <w:color w:val="000000" w:themeColor="text1"/>
          <w:sz w:val="24"/>
          <w:szCs w:val="24"/>
          <w:lang w:val="en-US"/>
        </w:rPr>
      </w:pPr>
    </w:p>
    <w:p w14:paraId="5165B9EC" w14:textId="540E1503" w:rsidR="08C88291" w:rsidRDefault="08C88291" w:rsidP="783E3883">
      <w:pPr>
        <w:pStyle w:val="ListParagraph"/>
        <w:numPr>
          <w:ilvl w:val="0"/>
          <w:numId w:val="2"/>
        </w:numPr>
        <w:rPr>
          <w:rFonts w:ascii="Aptos" w:eastAsia="Aptos" w:hAnsi="Aptos" w:cs="Aptos"/>
          <w:color w:val="000000" w:themeColor="text1"/>
          <w:sz w:val="24"/>
          <w:szCs w:val="24"/>
          <w:lang w:val="en-US"/>
        </w:rPr>
      </w:pPr>
      <w:r w:rsidRPr="783E3883">
        <w:rPr>
          <w:rFonts w:ascii="Aptos" w:eastAsia="Aptos" w:hAnsi="Aptos" w:cs="Aptos"/>
          <w:b/>
          <w:bCs/>
          <w:color w:val="000000" w:themeColor="text1"/>
          <w:sz w:val="24"/>
          <w:szCs w:val="24"/>
          <w:lang w:val="en-US"/>
        </w:rPr>
        <w:t>No Community Solar Program:</w:t>
      </w:r>
      <w:r w:rsidRPr="783E3883">
        <w:rPr>
          <w:rFonts w:ascii="Aptos" w:eastAsia="Aptos" w:hAnsi="Aptos" w:cs="Aptos"/>
          <w:color w:val="000000" w:themeColor="text1"/>
          <w:sz w:val="24"/>
          <w:szCs w:val="24"/>
          <w:lang w:val="en-US"/>
        </w:rPr>
        <w:t> Unlike Minnesota, Michigan has no enabling legislation for community solar gardens. State law generally prohibits the third-</w:t>
      </w:r>
      <w:r w:rsidRPr="783E3883">
        <w:rPr>
          <w:rFonts w:ascii="Aptos" w:eastAsia="Aptos" w:hAnsi="Aptos" w:cs="Aptos"/>
          <w:color w:val="000000" w:themeColor="text1"/>
          <w:sz w:val="24"/>
          <w:szCs w:val="24"/>
          <w:lang w:val="en-US"/>
        </w:rPr>
        <w:lastRenderedPageBreak/>
        <w:t xml:space="preserve">party retail sale of electricity, which is the foundational model for community solar programs that allow multiple subscribers to benefit from a single, large array. This effectively closes the most viable path for providing solar benefits to renters, residents in multi-family housing, and those with unsuitable rooftops. </w:t>
      </w:r>
    </w:p>
    <w:p w14:paraId="51817CDF" w14:textId="026A8BF0" w:rsidR="08C88291" w:rsidRDefault="08C88291" w:rsidP="783E3883">
      <w:pPr>
        <w:pStyle w:val="ListParagraph"/>
        <w:numPr>
          <w:ilvl w:val="0"/>
          <w:numId w:val="1"/>
        </w:numPr>
        <w:rPr>
          <w:rFonts w:ascii="Aptos" w:eastAsia="Aptos" w:hAnsi="Aptos" w:cs="Aptos"/>
          <w:color w:val="000000" w:themeColor="text1"/>
          <w:sz w:val="24"/>
          <w:szCs w:val="24"/>
          <w:lang w:val="en-US"/>
        </w:rPr>
      </w:pPr>
      <w:r w:rsidRPr="783E3883">
        <w:rPr>
          <w:rFonts w:ascii="Aptos" w:eastAsia="Aptos" w:hAnsi="Aptos" w:cs="Aptos"/>
          <w:b/>
          <w:bCs/>
          <w:color w:val="000000" w:themeColor="text1"/>
          <w:sz w:val="24"/>
          <w:szCs w:val="24"/>
          <w:lang w:val="en-US"/>
        </w:rPr>
        <w:t>Less Favorable Rooftop Solar Economics:</w:t>
      </w:r>
      <w:r w:rsidRPr="783E3883">
        <w:rPr>
          <w:rFonts w:ascii="Aptos" w:eastAsia="Aptos" w:hAnsi="Aptos" w:cs="Aptos"/>
          <w:color w:val="000000" w:themeColor="text1"/>
          <w:sz w:val="24"/>
          <w:szCs w:val="24"/>
          <w:lang w:val="en-US"/>
        </w:rPr>
        <w:t xml:space="preserve"> The state’s Distributed Generation Program creates two main hurdles for individual rooftop projects. First, instead of traditional 1-to-1 net metering, Michigan uses an “inflow/outflow” billing system under which customers pay the full retail rate for all electricity they consume from the grid, while any excess solar energy they export is credited at a much lower rate based on the utility’s power supply cost. This significantly reduces the financial return for solar owners compared to net metering. Second, the same laws that prevent community solar also broadly prohibit third-party ownership models such as Power Purchase Agreements for residential customers, creating a major barrier for non-profits, Tribal housing authorities, and low-income households that cannot afford the high upfront cost of purchasing a solar system.</w:t>
      </w:r>
    </w:p>
    <w:p w14:paraId="09B012A3" w14:textId="070E4007" w:rsidR="783E3883" w:rsidRDefault="783E3883" w:rsidP="783E3883">
      <w:pPr>
        <w:pStyle w:val="ListParagraph"/>
        <w:rPr>
          <w:rFonts w:ascii="Aptos" w:eastAsia="Aptos" w:hAnsi="Aptos" w:cs="Aptos"/>
          <w:color w:val="000000" w:themeColor="text1"/>
          <w:sz w:val="24"/>
          <w:szCs w:val="24"/>
          <w:lang w:val="en-US"/>
        </w:rPr>
      </w:pPr>
    </w:p>
    <w:p w14:paraId="5CFBEBEF" w14:textId="649B7043" w:rsidR="08C88291" w:rsidRDefault="08C88291" w:rsidP="783E3883">
      <w:pPr>
        <w:jc w:val="center"/>
        <w:rPr>
          <w:rFonts w:ascii="Aptos" w:eastAsia="Aptos" w:hAnsi="Aptos" w:cs="Aptos"/>
          <w:sz w:val="24"/>
          <w:szCs w:val="24"/>
          <w:lang w:val="en-US"/>
        </w:rPr>
      </w:pPr>
      <w:r w:rsidRPr="783E3883">
        <w:rPr>
          <w:rFonts w:ascii="Aptos" w:eastAsia="Aptos" w:hAnsi="Aptos" w:cs="Aptos"/>
          <w:b/>
          <w:bCs/>
          <w:color w:val="000000" w:themeColor="text1"/>
          <w:sz w:val="24"/>
          <w:szCs w:val="24"/>
          <w:u w:val="single"/>
          <w:lang w:val="en-US"/>
        </w:rPr>
        <w:t>RECOMMENDATIONS TO ADDRESS THESE CHALLENGES</w:t>
      </w:r>
    </w:p>
    <w:p w14:paraId="6344634D" w14:textId="3DEA6C29" w:rsidR="783E3883" w:rsidRDefault="783E3883" w:rsidP="783E3883">
      <w:pPr>
        <w:jc w:val="center"/>
        <w:rPr>
          <w:rFonts w:ascii="Aptos" w:eastAsia="Aptos" w:hAnsi="Aptos" w:cs="Aptos"/>
          <w:b/>
          <w:bCs/>
          <w:color w:val="000000" w:themeColor="text1"/>
          <w:sz w:val="24"/>
          <w:szCs w:val="24"/>
          <w:u w:val="single"/>
          <w:lang w:val="en-US"/>
        </w:rPr>
      </w:pPr>
    </w:p>
    <w:p w14:paraId="33795EEF" w14:textId="46F2EB5F" w:rsidR="00E2038E" w:rsidRPr="00E2038E" w:rsidRDefault="00E2038E" w:rsidP="783E3883">
      <w:pPr>
        <w:rPr>
          <w:rFonts w:ascii="Aptos" w:hAnsi="Aptos" w:cs="Calibri"/>
          <w:color w:val="000000" w:themeColor="text1"/>
          <w:sz w:val="24"/>
          <w:szCs w:val="24"/>
          <w:lang w:val="en-US"/>
        </w:rPr>
      </w:pPr>
      <w:r w:rsidRPr="783E3883">
        <w:rPr>
          <w:rFonts w:ascii="Aptos" w:hAnsi="Aptos" w:cs="Calibri"/>
          <w:color w:val="000000" w:themeColor="text1"/>
          <w:sz w:val="24"/>
          <w:szCs w:val="24"/>
        </w:rPr>
        <w:t xml:space="preserve">To better serve Tribal Nations and energy justice communities across the state, </w:t>
      </w:r>
      <w:r w:rsidR="04ED16A6" w:rsidRPr="783E3883">
        <w:rPr>
          <w:rFonts w:ascii="Aptos" w:hAnsi="Aptos"/>
          <w:sz w:val="24"/>
          <w:szCs w:val="24"/>
          <w:highlight w:val="yellow"/>
          <w:lang w:val="en-US"/>
        </w:rPr>
        <w:t>________[Tribe name],</w:t>
      </w:r>
      <w:r w:rsidRPr="783E3883">
        <w:rPr>
          <w:rFonts w:ascii="Aptos" w:hAnsi="Aptos" w:cs="Calibri"/>
          <w:color w:val="000000" w:themeColor="text1"/>
          <w:sz w:val="24"/>
          <w:szCs w:val="24"/>
        </w:rPr>
        <w:t xml:space="preserve"> recommends the following</w:t>
      </w:r>
      <w:r w:rsidRPr="783E3883">
        <w:rPr>
          <w:rFonts w:ascii="Aptos" w:hAnsi="Aptos" w:cs="Calibri"/>
          <w:color w:val="000000" w:themeColor="text1"/>
          <w:sz w:val="24"/>
          <w:szCs w:val="24"/>
          <w:lang w:val="en-US"/>
        </w:rPr>
        <w:t xml:space="preserve"> regulatory, programmatic, and utility-level actions:</w:t>
      </w:r>
    </w:p>
    <w:p w14:paraId="523BD023" w14:textId="77777777" w:rsidR="00E2038E" w:rsidRPr="00E2038E" w:rsidRDefault="00E2038E" w:rsidP="00E2038E">
      <w:pPr>
        <w:rPr>
          <w:rFonts w:ascii="Aptos" w:hAnsi="Aptos" w:cs="Calibri"/>
          <w:color w:val="000000" w:themeColor="text1"/>
          <w:sz w:val="24"/>
          <w:szCs w:val="24"/>
          <w:lang w:val="en-US"/>
        </w:rPr>
      </w:pPr>
    </w:p>
    <w:p w14:paraId="5BACBC55" w14:textId="77777777" w:rsidR="00E2038E" w:rsidRPr="00E2038E" w:rsidRDefault="00E2038E" w:rsidP="00E2038E">
      <w:pPr>
        <w:rPr>
          <w:rFonts w:ascii="Aptos" w:hAnsi="Aptos" w:cs="Calibri"/>
          <w:b/>
          <w:bCs/>
          <w:color w:val="000000" w:themeColor="text1"/>
          <w:sz w:val="24"/>
          <w:szCs w:val="24"/>
          <w:lang w:val="en-US"/>
        </w:rPr>
      </w:pPr>
      <w:r w:rsidRPr="00E2038E">
        <w:rPr>
          <w:rFonts w:ascii="Aptos" w:hAnsi="Aptos" w:cs="Calibri"/>
          <w:b/>
          <w:bCs/>
          <w:color w:val="000000" w:themeColor="text1"/>
          <w:sz w:val="24"/>
          <w:szCs w:val="24"/>
          <w:lang w:val="en-US"/>
        </w:rPr>
        <w:t>1. Strengthen Regulatory and Planning Frameworks</w:t>
      </w:r>
    </w:p>
    <w:p w14:paraId="0CC1FF1F" w14:textId="77777777" w:rsidR="00E2038E" w:rsidRPr="00E2038E" w:rsidRDefault="00E2038E" w:rsidP="00E2038E">
      <w:pPr>
        <w:pStyle w:val="ListParagraph"/>
        <w:numPr>
          <w:ilvl w:val="0"/>
          <w:numId w:val="11"/>
        </w:numPr>
        <w:spacing w:after="160" w:line="278" w:lineRule="auto"/>
        <w:rPr>
          <w:rFonts w:ascii="Aptos" w:hAnsi="Aptos" w:cs="Calibri"/>
          <w:b/>
          <w:bCs/>
          <w:color w:val="000000" w:themeColor="text1"/>
          <w:sz w:val="24"/>
          <w:szCs w:val="24"/>
          <w:lang w:val="en-US"/>
        </w:rPr>
      </w:pPr>
      <w:r w:rsidRPr="00E2038E">
        <w:rPr>
          <w:rFonts w:ascii="Aptos" w:hAnsi="Aptos" w:cs="Calibri"/>
          <w:b/>
          <w:bCs/>
          <w:color w:val="000000" w:themeColor="text1"/>
          <w:sz w:val="24"/>
          <w:szCs w:val="24"/>
          <w:lang w:val="en-US"/>
        </w:rPr>
        <w:t>Require Meaningful Tribal Consultation in Utility Planning:</w:t>
      </w:r>
      <w:r w:rsidRPr="00E2038E">
        <w:rPr>
          <w:rFonts w:ascii="Aptos" w:hAnsi="Aptos" w:cs="Calibri"/>
          <w:color w:val="000000" w:themeColor="text1"/>
          <w:sz w:val="24"/>
          <w:szCs w:val="24"/>
          <w:lang w:val="en-US"/>
        </w:rPr>
        <w:t xml:space="preserve"> The Michigan Public Service Commission should require explicit consultation with Tribal governments within utility service territories as part of Integrated Resource Plan and Clean Energy Plan development. This ensures early engagement before plans are finalized, and recognizes Tribes as sovereign governments, in addition to being communities affected.</w:t>
      </w:r>
    </w:p>
    <w:p w14:paraId="0964ED81" w14:textId="77777777" w:rsidR="00E2038E" w:rsidRPr="00E2038E" w:rsidRDefault="00E2038E" w:rsidP="00E2038E">
      <w:pPr>
        <w:pStyle w:val="ListParagraph"/>
        <w:numPr>
          <w:ilvl w:val="0"/>
          <w:numId w:val="11"/>
        </w:numPr>
        <w:spacing w:after="160" w:line="278" w:lineRule="auto"/>
        <w:rPr>
          <w:rFonts w:ascii="Aptos" w:hAnsi="Aptos" w:cs="Calibri"/>
          <w:color w:val="000000" w:themeColor="text1"/>
          <w:sz w:val="24"/>
          <w:szCs w:val="24"/>
          <w:lang w:val="en-US"/>
        </w:rPr>
      </w:pPr>
      <w:r w:rsidRPr="00E2038E">
        <w:rPr>
          <w:rFonts w:ascii="Aptos" w:hAnsi="Aptos" w:cs="Calibri"/>
          <w:b/>
          <w:bCs/>
          <w:color w:val="000000" w:themeColor="text1"/>
          <w:sz w:val="24"/>
          <w:szCs w:val="24"/>
          <w:lang w:val="en-US"/>
        </w:rPr>
        <w:t>Integrate Tribal Energy Growth and Load Forecasting:</w:t>
      </w:r>
      <w:r w:rsidRPr="00E2038E">
        <w:rPr>
          <w:rFonts w:ascii="Aptos" w:hAnsi="Aptos" w:cs="Calibri"/>
          <w:color w:val="000000" w:themeColor="text1"/>
          <w:sz w:val="24"/>
          <w:szCs w:val="24"/>
          <w:lang w:val="en-US"/>
        </w:rPr>
        <w:t xml:space="preserve"> IRPs and CEPs should include electrification and clean energy growth projections defined by Tribal Nations, accounting for expected increases in residential and community facility loads, EV adoption, and renewable generation on Tribal lands. When available, utilities should include load forecasts specific to Tribal areas to ensure accurate modeling of grid impacts and resource needs.</w:t>
      </w:r>
    </w:p>
    <w:p w14:paraId="7FF82BE6" w14:textId="77777777" w:rsidR="00E2038E" w:rsidRPr="00E2038E" w:rsidRDefault="00E2038E" w:rsidP="00E2038E">
      <w:pPr>
        <w:pStyle w:val="ListParagraph"/>
        <w:numPr>
          <w:ilvl w:val="0"/>
          <w:numId w:val="11"/>
        </w:numPr>
        <w:spacing w:after="160" w:line="278" w:lineRule="auto"/>
        <w:rPr>
          <w:rFonts w:ascii="Aptos" w:hAnsi="Aptos" w:cs="Calibri"/>
          <w:color w:val="000000" w:themeColor="text1"/>
          <w:sz w:val="24"/>
          <w:szCs w:val="24"/>
          <w:lang w:val="en-US"/>
        </w:rPr>
      </w:pPr>
      <w:r w:rsidRPr="00E2038E">
        <w:rPr>
          <w:rFonts w:ascii="Aptos" w:hAnsi="Aptos" w:cs="Calibri"/>
          <w:b/>
          <w:bCs/>
          <w:color w:val="000000" w:themeColor="text1"/>
          <w:sz w:val="24"/>
          <w:szCs w:val="24"/>
          <w:lang w:val="en-US"/>
        </w:rPr>
        <w:t>Include Tribal Equity Metrics:</w:t>
      </w:r>
      <w:r w:rsidRPr="00E2038E">
        <w:rPr>
          <w:rFonts w:ascii="Aptos" w:hAnsi="Aptos" w:cs="Calibri"/>
          <w:color w:val="000000" w:themeColor="text1"/>
          <w:sz w:val="24"/>
          <w:szCs w:val="24"/>
          <w:lang w:val="en-US"/>
        </w:rPr>
        <w:t xml:space="preserve"> Equity and Environmental Justice metrics must explicitly identify Tribal lands and communities as EJ communities where </w:t>
      </w:r>
      <w:r w:rsidRPr="00E2038E">
        <w:rPr>
          <w:rFonts w:ascii="Aptos" w:hAnsi="Aptos" w:cs="Calibri"/>
          <w:color w:val="000000" w:themeColor="text1"/>
          <w:sz w:val="24"/>
          <w:szCs w:val="24"/>
          <w:lang w:val="en-US"/>
        </w:rPr>
        <w:lastRenderedPageBreak/>
        <w:t>applicable, requiring utilities to demonstrate how program benefits and clean energy investments will flow to underserved Tribal areas.</w:t>
      </w:r>
    </w:p>
    <w:p w14:paraId="6EB9260A" w14:textId="77777777" w:rsidR="00E2038E" w:rsidRPr="00E2038E" w:rsidRDefault="00E2038E" w:rsidP="00E2038E">
      <w:pPr>
        <w:rPr>
          <w:rFonts w:ascii="Aptos" w:hAnsi="Aptos" w:cs="Calibri"/>
          <w:color w:val="000000" w:themeColor="text1"/>
          <w:sz w:val="24"/>
          <w:szCs w:val="24"/>
          <w:lang w:val="en-US"/>
        </w:rPr>
      </w:pPr>
    </w:p>
    <w:p w14:paraId="4FF547D7" w14:textId="77777777" w:rsidR="00E2038E" w:rsidRPr="00E2038E" w:rsidRDefault="00E2038E" w:rsidP="00E2038E">
      <w:pPr>
        <w:rPr>
          <w:rFonts w:ascii="Aptos" w:hAnsi="Aptos" w:cs="Calibri"/>
          <w:b/>
          <w:bCs/>
          <w:color w:val="000000" w:themeColor="text1"/>
          <w:sz w:val="24"/>
          <w:szCs w:val="24"/>
          <w:lang w:val="en-US"/>
        </w:rPr>
      </w:pPr>
      <w:r w:rsidRPr="00E2038E">
        <w:rPr>
          <w:rFonts w:ascii="Aptos" w:hAnsi="Aptos" w:cs="Calibri"/>
          <w:b/>
          <w:bCs/>
          <w:color w:val="000000" w:themeColor="text1"/>
          <w:sz w:val="24"/>
          <w:szCs w:val="24"/>
          <w:lang w:val="en-US"/>
        </w:rPr>
        <w:t>2. Expand Equitable Access to Renewable Energy</w:t>
      </w:r>
    </w:p>
    <w:p w14:paraId="0FD1E6D7" w14:textId="4669D9EA" w:rsidR="00E2038E" w:rsidRPr="00E2038E" w:rsidRDefault="21F88FDE" w:rsidP="00E2038E">
      <w:pPr>
        <w:pStyle w:val="ListParagraph"/>
        <w:numPr>
          <w:ilvl w:val="0"/>
          <w:numId w:val="12"/>
        </w:numPr>
        <w:spacing w:after="160" w:line="278" w:lineRule="auto"/>
        <w:rPr>
          <w:rFonts w:ascii="Aptos" w:hAnsi="Aptos" w:cs="Calibri"/>
          <w:color w:val="000000" w:themeColor="text1"/>
          <w:sz w:val="24"/>
          <w:szCs w:val="24"/>
          <w:lang w:val="en-US"/>
        </w:rPr>
      </w:pPr>
      <w:r w:rsidRPr="783E3883">
        <w:rPr>
          <w:rFonts w:ascii="Aptos" w:hAnsi="Aptos" w:cs="Calibri"/>
          <w:b/>
          <w:bCs/>
          <w:color w:val="000000" w:themeColor="text1"/>
          <w:sz w:val="24"/>
          <w:szCs w:val="24"/>
          <w:lang w:val="en-US"/>
        </w:rPr>
        <w:t>Establishing</w:t>
      </w:r>
      <w:r w:rsidR="00E2038E" w:rsidRPr="783E3883">
        <w:rPr>
          <w:rFonts w:ascii="Aptos" w:hAnsi="Aptos" w:cs="Calibri"/>
          <w:b/>
          <w:bCs/>
          <w:color w:val="000000" w:themeColor="text1"/>
          <w:sz w:val="24"/>
          <w:szCs w:val="24"/>
          <w:lang w:val="en-US"/>
        </w:rPr>
        <w:t xml:space="preserve"> a Community Solar Program:</w:t>
      </w:r>
      <w:r w:rsidR="00E2038E" w:rsidRPr="783E3883">
        <w:rPr>
          <w:rFonts w:ascii="Aptos" w:hAnsi="Aptos" w:cs="Calibri"/>
          <w:color w:val="000000" w:themeColor="text1"/>
          <w:sz w:val="24"/>
          <w:szCs w:val="24"/>
          <w:lang w:val="en-US"/>
        </w:rPr>
        <w:t xml:space="preserve"> The absence of a community solar framework remains the single largest barrier to equitable energy access for Tribal members</w:t>
      </w:r>
      <w:r w:rsidR="0B9DFCCF" w:rsidRPr="783E3883">
        <w:rPr>
          <w:rFonts w:ascii="Aptos" w:hAnsi="Aptos" w:cs="Calibri"/>
          <w:color w:val="000000" w:themeColor="text1"/>
          <w:sz w:val="24"/>
          <w:szCs w:val="24"/>
          <w:lang w:val="en-US"/>
        </w:rPr>
        <w:t xml:space="preserve"> serviced</w:t>
      </w:r>
      <w:r w:rsidR="00E2038E" w:rsidRPr="783E3883">
        <w:rPr>
          <w:rFonts w:ascii="Aptos" w:hAnsi="Aptos" w:cs="Calibri"/>
          <w:color w:val="000000" w:themeColor="text1"/>
          <w:sz w:val="24"/>
          <w:szCs w:val="24"/>
          <w:lang w:val="en-US"/>
        </w:rPr>
        <w:t xml:space="preserve"> in </w:t>
      </w:r>
      <w:r w:rsidR="4B2C80A5" w:rsidRPr="783E3883">
        <w:rPr>
          <w:rFonts w:ascii="Aptos" w:hAnsi="Aptos" w:cs="Calibri"/>
          <w:color w:val="000000" w:themeColor="text1"/>
          <w:sz w:val="24"/>
          <w:szCs w:val="24"/>
          <w:lang w:val="en-US"/>
        </w:rPr>
        <w:t>IOU territories</w:t>
      </w:r>
      <w:r w:rsidR="00E2038E" w:rsidRPr="783E3883">
        <w:rPr>
          <w:rFonts w:ascii="Aptos" w:hAnsi="Aptos" w:cs="Calibri"/>
          <w:color w:val="000000" w:themeColor="text1"/>
          <w:sz w:val="24"/>
          <w:szCs w:val="24"/>
          <w:lang w:val="en-US"/>
        </w:rPr>
        <w:t>. Michigan should create enabling legislation for community solar and direct the MPSC to implement program rules. The Commission could establish capacity carve-outs for Tribally sponsored projects and dedicated subscription options for low-income Tribal members, leveraging federal and state funding to ensure affordability and project viability.</w:t>
      </w:r>
    </w:p>
    <w:p w14:paraId="02917085" w14:textId="77777777" w:rsidR="00E2038E" w:rsidRPr="00E2038E" w:rsidRDefault="00E2038E" w:rsidP="00E2038E">
      <w:pPr>
        <w:pStyle w:val="ListParagraph"/>
        <w:numPr>
          <w:ilvl w:val="0"/>
          <w:numId w:val="12"/>
        </w:numPr>
        <w:spacing w:after="160" w:line="278" w:lineRule="auto"/>
        <w:rPr>
          <w:rFonts w:ascii="Aptos" w:hAnsi="Aptos" w:cs="Calibri"/>
          <w:color w:val="000000" w:themeColor="text1"/>
          <w:sz w:val="24"/>
          <w:szCs w:val="24"/>
          <w:lang w:val="en-US"/>
        </w:rPr>
      </w:pPr>
      <w:r w:rsidRPr="00E2038E">
        <w:rPr>
          <w:rFonts w:ascii="Aptos" w:hAnsi="Aptos" w:cs="Calibri"/>
          <w:b/>
          <w:bCs/>
          <w:color w:val="000000" w:themeColor="text1"/>
          <w:sz w:val="24"/>
          <w:szCs w:val="24"/>
          <w:lang w:val="en-US"/>
        </w:rPr>
        <w:t>Clarify Third-Party Ownership Rules:</w:t>
      </w:r>
      <w:r w:rsidRPr="00E2038E">
        <w:rPr>
          <w:rFonts w:ascii="Aptos" w:hAnsi="Aptos" w:cs="Calibri"/>
          <w:color w:val="000000" w:themeColor="text1"/>
          <w:sz w:val="24"/>
          <w:szCs w:val="24"/>
          <w:lang w:val="en-US"/>
        </w:rPr>
        <w:t xml:space="preserve"> The current ambiguity around the eligibility of leases and Power Purchase Agreements under the Distributed Generation Rider deters investment and project financing. The MPSC should issue clear guidance affirming that TPO models are permissible for customer-sited projects. This no-cost clarification would unlock private investment and make renewable energy accessible to non-taxable entities such as Tribal governments, non-profits, and low-income households.</w:t>
      </w:r>
    </w:p>
    <w:p w14:paraId="20964A74" w14:textId="77777777" w:rsidR="00E2038E" w:rsidRPr="00E2038E" w:rsidRDefault="00E2038E" w:rsidP="00E2038E">
      <w:pPr>
        <w:rPr>
          <w:rFonts w:ascii="Aptos" w:hAnsi="Aptos" w:cs="Calibri"/>
          <w:color w:val="000000" w:themeColor="text1"/>
          <w:sz w:val="24"/>
          <w:szCs w:val="24"/>
          <w:lang w:val="en-US"/>
        </w:rPr>
      </w:pPr>
    </w:p>
    <w:p w14:paraId="40B2F718" w14:textId="77777777" w:rsidR="00E2038E" w:rsidRPr="00E2038E" w:rsidRDefault="00E2038E" w:rsidP="00E2038E">
      <w:pPr>
        <w:rPr>
          <w:rFonts w:ascii="Aptos" w:hAnsi="Aptos" w:cs="Calibri"/>
          <w:b/>
          <w:bCs/>
          <w:color w:val="000000" w:themeColor="text1"/>
          <w:sz w:val="24"/>
          <w:szCs w:val="24"/>
          <w:lang w:val="en-US"/>
        </w:rPr>
      </w:pPr>
      <w:r w:rsidRPr="00E2038E">
        <w:rPr>
          <w:rFonts w:ascii="Aptos" w:hAnsi="Aptos" w:cs="Calibri"/>
          <w:b/>
          <w:bCs/>
          <w:color w:val="000000" w:themeColor="text1"/>
          <w:sz w:val="24"/>
          <w:szCs w:val="24"/>
          <w:lang w:val="en-US"/>
        </w:rPr>
        <w:t>3. Formalize Utility–Tribal Government Relations</w:t>
      </w:r>
    </w:p>
    <w:p w14:paraId="2CBE31FB" w14:textId="2D808190" w:rsidR="00E2038E" w:rsidRPr="00E2038E" w:rsidRDefault="0313DDE4" w:rsidP="00E2038E">
      <w:pPr>
        <w:pStyle w:val="ListParagraph"/>
        <w:numPr>
          <w:ilvl w:val="0"/>
          <w:numId w:val="13"/>
        </w:numPr>
        <w:spacing w:after="160" w:line="278" w:lineRule="auto"/>
        <w:rPr>
          <w:rFonts w:ascii="Aptos" w:hAnsi="Aptos" w:cs="Calibri"/>
          <w:color w:val="000000" w:themeColor="text1"/>
          <w:sz w:val="24"/>
          <w:szCs w:val="24"/>
          <w:lang w:val="en-US"/>
        </w:rPr>
      </w:pPr>
      <w:r w:rsidRPr="783E3883">
        <w:rPr>
          <w:rFonts w:ascii="Aptos" w:hAnsi="Aptos" w:cs="Calibri"/>
          <w:b/>
          <w:bCs/>
          <w:color w:val="000000" w:themeColor="text1"/>
          <w:sz w:val="24"/>
          <w:szCs w:val="24"/>
          <w:lang w:val="en-US"/>
        </w:rPr>
        <w:t>MI IOUs</w:t>
      </w:r>
      <w:r w:rsidR="00E2038E" w:rsidRPr="783E3883">
        <w:rPr>
          <w:rFonts w:ascii="Aptos" w:hAnsi="Aptos" w:cs="Calibri"/>
          <w:b/>
          <w:bCs/>
          <w:color w:val="000000" w:themeColor="text1"/>
          <w:sz w:val="24"/>
          <w:szCs w:val="24"/>
          <w:lang w:val="en-US"/>
        </w:rPr>
        <w:t xml:space="preserve"> should establish formal, government-to-government engagement structures with Tribal Nations.</w:t>
      </w:r>
      <w:r w:rsidR="00E2038E" w:rsidRPr="783E3883">
        <w:rPr>
          <w:rFonts w:ascii="Aptos" w:hAnsi="Aptos" w:cs="Calibri"/>
          <w:color w:val="000000" w:themeColor="text1"/>
          <w:sz w:val="24"/>
          <w:szCs w:val="24"/>
          <w:lang w:val="en-US"/>
        </w:rPr>
        <w:t xml:space="preserve"> This can include creating a dedicated Tribal liaison office or designating a permanent senior-level contact responsible for coordination with Tribal governments. A formal relationship is essential to build trust, improve communication, and ensure that Tribal sovereignty, cultural values, and energy goals are reflected in all aspects of utility planning and operations.</w:t>
      </w:r>
    </w:p>
    <w:p w14:paraId="179030FE" w14:textId="77777777" w:rsidR="00E2038E" w:rsidRPr="00E2038E" w:rsidRDefault="00E2038E" w:rsidP="00E2038E">
      <w:pPr>
        <w:rPr>
          <w:rFonts w:ascii="Aptos" w:hAnsi="Aptos" w:cs="Calibri"/>
          <w:color w:val="000000" w:themeColor="text1"/>
          <w:sz w:val="24"/>
          <w:szCs w:val="24"/>
          <w:lang w:val="en-US"/>
        </w:rPr>
      </w:pPr>
    </w:p>
    <w:p w14:paraId="11B44CB4" w14:textId="77777777" w:rsidR="00E2038E" w:rsidRPr="00E2038E" w:rsidRDefault="00E2038E" w:rsidP="00E2038E">
      <w:pPr>
        <w:rPr>
          <w:rFonts w:ascii="Aptos" w:hAnsi="Aptos" w:cs="Calibri"/>
          <w:b/>
          <w:bCs/>
          <w:color w:val="000000" w:themeColor="text1"/>
          <w:sz w:val="24"/>
          <w:szCs w:val="24"/>
          <w:lang w:val="en-US"/>
        </w:rPr>
      </w:pPr>
      <w:r w:rsidRPr="00E2038E">
        <w:rPr>
          <w:rFonts w:ascii="Aptos" w:hAnsi="Aptos" w:cs="Calibri"/>
          <w:b/>
          <w:bCs/>
          <w:color w:val="000000" w:themeColor="text1"/>
          <w:sz w:val="24"/>
          <w:szCs w:val="24"/>
          <w:lang w:val="en-US"/>
        </w:rPr>
        <w:t>4. Address Structural Barriers to Renewable Development in Rural and Tribal Areas</w:t>
      </w:r>
    </w:p>
    <w:p w14:paraId="00000057" w14:textId="1D8712D4" w:rsidR="00CC7DD5" w:rsidRDefault="00E2038E" w:rsidP="783E3883">
      <w:pPr>
        <w:pStyle w:val="ListParagraph"/>
        <w:numPr>
          <w:ilvl w:val="0"/>
          <w:numId w:val="13"/>
        </w:numPr>
        <w:spacing w:after="160" w:line="278" w:lineRule="auto"/>
        <w:rPr>
          <w:rFonts w:ascii="Aptos" w:hAnsi="Aptos" w:cs="Calibri"/>
          <w:color w:val="000000" w:themeColor="text1"/>
          <w:sz w:val="24"/>
          <w:szCs w:val="24"/>
          <w:lang w:val="en-US"/>
        </w:rPr>
      </w:pPr>
      <w:r w:rsidRPr="783E3883">
        <w:rPr>
          <w:rFonts w:ascii="Aptos" w:hAnsi="Aptos" w:cs="Calibri"/>
          <w:color w:val="000000" w:themeColor="text1"/>
          <w:sz w:val="24"/>
          <w:szCs w:val="24"/>
          <w:lang w:val="en-US"/>
        </w:rPr>
        <w:t xml:space="preserve">Standardized interconnection rules and cost-allocation practices create disproportionate challenges in </w:t>
      </w:r>
      <w:r w:rsidR="1608B503" w:rsidRPr="783E3883">
        <w:rPr>
          <w:rFonts w:ascii="Aptos" w:hAnsi="Aptos" w:cs="Calibri"/>
          <w:color w:val="000000" w:themeColor="text1"/>
          <w:sz w:val="24"/>
          <w:szCs w:val="24"/>
          <w:lang w:val="en-US"/>
        </w:rPr>
        <w:t>IOUs’</w:t>
      </w:r>
      <w:r w:rsidRPr="783E3883">
        <w:rPr>
          <w:rFonts w:ascii="Aptos" w:hAnsi="Aptos" w:cs="Calibri"/>
          <w:color w:val="000000" w:themeColor="text1"/>
          <w:sz w:val="24"/>
          <w:szCs w:val="24"/>
          <w:lang w:val="en-US"/>
        </w:rPr>
        <w:t xml:space="preserve"> rural service territory, particularly for projects on or near Tribal lands. The MPSC should consider reforms such as cost-sharing mechanisms for grid upgrades or a state-administered grant fund to offset interconnection expenses for community-based and Tribal renewable energy projects. The Commission has previously used rate design to advance public interest goals, such as waiving EV demand charges</w:t>
      </w:r>
      <w:r w:rsidRPr="783E3883">
        <w:rPr>
          <w:rFonts w:ascii="Aptos" w:hAnsi="Aptos" w:cs="Calibri"/>
          <w:color w:val="000000" w:themeColor="text1"/>
          <w:sz w:val="24"/>
          <w:szCs w:val="24"/>
        </w:rPr>
        <w:t>.</w:t>
      </w:r>
      <w:r w:rsidRPr="783E3883">
        <w:rPr>
          <w:rFonts w:ascii="Aptos" w:hAnsi="Aptos" w:cs="Calibri"/>
          <w:color w:val="000000" w:themeColor="text1"/>
          <w:sz w:val="24"/>
          <w:szCs w:val="24"/>
          <w:lang w:val="en-US"/>
        </w:rPr>
        <w:t xml:space="preserve"> </w:t>
      </w:r>
      <w:r w:rsidRPr="783E3883">
        <w:rPr>
          <w:rFonts w:ascii="Aptos" w:hAnsi="Aptos" w:cs="Calibri"/>
          <w:color w:val="000000" w:themeColor="text1"/>
          <w:sz w:val="24"/>
          <w:szCs w:val="24"/>
        </w:rPr>
        <w:t>A</w:t>
      </w:r>
      <w:r w:rsidRPr="783E3883">
        <w:rPr>
          <w:rFonts w:ascii="Aptos" w:hAnsi="Aptos" w:cs="Calibri"/>
          <w:color w:val="000000" w:themeColor="text1"/>
          <w:sz w:val="24"/>
          <w:szCs w:val="24"/>
          <w:lang w:val="en-US"/>
        </w:rPr>
        <w:t xml:space="preserve"> similar equity-based approach should be applied to </w:t>
      </w:r>
      <w:bookmarkStart w:id="0" w:name="_Int_qbZAeU7I"/>
      <w:r w:rsidRPr="783E3883">
        <w:rPr>
          <w:rFonts w:ascii="Aptos" w:hAnsi="Aptos" w:cs="Calibri"/>
          <w:color w:val="000000" w:themeColor="text1"/>
          <w:sz w:val="24"/>
          <w:szCs w:val="24"/>
          <w:lang w:val="en-US"/>
        </w:rPr>
        <w:t>distributed</w:t>
      </w:r>
      <w:bookmarkEnd w:id="0"/>
      <w:r w:rsidRPr="783E3883">
        <w:rPr>
          <w:rFonts w:ascii="Aptos" w:hAnsi="Aptos" w:cs="Calibri"/>
          <w:color w:val="000000" w:themeColor="text1"/>
          <w:sz w:val="24"/>
          <w:szCs w:val="24"/>
          <w:lang w:val="en-US"/>
        </w:rPr>
        <w:t xml:space="preserve"> renewable </w:t>
      </w:r>
      <w:r w:rsidR="204787BD" w:rsidRPr="783E3883">
        <w:rPr>
          <w:rFonts w:ascii="Aptos" w:hAnsi="Aptos" w:cs="Calibri"/>
          <w:color w:val="000000" w:themeColor="text1"/>
          <w:sz w:val="24"/>
          <w:szCs w:val="24"/>
          <w:lang w:val="en-US"/>
        </w:rPr>
        <w:t>energy sources</w:t>
      </w:r>
      <w:r w:rsidRPr="783E3883">
        <w:rPr>
          <w:rFonts w:ascii="Aptos" w:hAnsi="Aptos" w:cs="Calibri"/>
          <w:color w:val="000000" w:themeColor="text1"/>
          <w:sz w:val="24"/>
          <w:szCs w:val="24"/>
          <w:lang w:val="en-US"/>
        </w:rPr>
        <w:t>.</w:t>
      </w:r>
    </w:p>
    <w:p w14:paraId="15D140B0" w14:textId="77777777" w:rsidR="00060DB5" w:rsidRPr="002F541E" w:rsidRDefault="00060DB5" w:rsidP="00060DB5">
      <w:pPr>
        <w:rPr>
          <w:rFonts w:ascii="Aptos" w:eastAsiaTheme="minorEastAsia" w:hAnsi="Aptos" w:cstheme="minorBidi"/>
          <w:b/>
          <w:bCs/>
          <w:color w:val="000000" w:themeColor="text1"/>
          <w:sz w:val="24"/>
          <w:szCs w:val="24"/>
          <w:lang w:val="en-US"/>
        </w:rPr>
      </w:pPr>
      <w:r w:rsidRPr="002F541E">
        <w:rPr>
          <w:rFonts w:ascii="Aptos" w:eastAsiaTheme="minorEastAsia" w:hAnsi="Aptos" w:cstheme="minorBidi"/>
          <w:b/>
          <w:bCs/>
          <w:color w:val="000000" w:themeColor="text1"/>
          <w:sz w:val="24"/>
          <w:szCs w:val="24"/>
          <w:lang w:val="en-US"/>
        </w:rPr>
        <w:lastRenderedPageBreak/>
        <w:t>5. Implement Strategic Project Planning and Development</w:t>
      </w:r>
    </w:p>
    <w:p w14:paraId="17AB5ECE" w14:textId="77777777" w:rsidR="00060DB5" w:rsidRPr="002F541E" w:rsidRDefault="00060DB5" w:rsidP="00060DB5">
      <w:pPr>
        <w:rPr>
          <w:rFonts w:ascii="Aptos" w:eastAsiaTheme="minorEastAsia" w:hAnsi="Aptos" w:cstheme="minorBidi"/>
          <w:color w:val="000000" w:themeColor="text1"/>
          <w:sz w:val="24"/>
          <w:szCs w:val="24"/>
          <w:lang w:val="en-US"/>
        </w:rPr>
      </w:pPr>
      <w:r w:rsidRPr="002F541E">
        <w:rPr>
          <w:rFonts w:ascii="Aptos" w:eastAsiaTheme="minorEastAsia" w:hAnsi="Aptos" w:cstheme="minorBidi"/>
          <w:color w:val="000000" w:themeColor="text1"/>
          <w:sz w:val="24"/>
          <w:szCs w:val="24"/>
          <w:lang w:val="en-US"/>
        </w:rPr>
        <w:t>Given the current tariff structures and grid realities, Tribal project developers should be able to:  </w:t>
      </w:r>
    </w:p>
    <w:p w14:paraId="2460C786" w14:textId="77777777" w:rsidR="00060DB5" w:rsidRPr="002F541E" w:rsidRDefault="00060DB5" w:rsidP="00060DB5">
      <w:pPr>
        <w:numPr>
          <w:ilvl w:val="0"/>
          <w:numId w:val="15"/>
        </w:numPr>
        <w:tabs>
          <w:tab w:val="clear" w:pos="720"/>
          <w:tab w:val="num" w:pos="1080"/>
        </w:tabs>
        <w:ind w:left="1080"/>
        <w:rPr>
          <w:rFonts w:ascii="Aptos" w:eastAsiaTheme="minorEastAsia" w:hAnsi="Aptos" w:cstheme="minorBidi"/>
          <w:color w:val="000000" w:themeColor="text1"/>
          <w:sz w:val="24"/>
          <w:szCs w:val="24"/>
          <w:lang w:val="en-US"/>
        </w:rPr>
      </w:pPr>
      <w:r w:rsidRPr="002F541E">
        <w:rPr>
          <w:rFonts w:ascii="Aptos" w:eastAsiaTheme="minorEastAsia" w:hAnsi="Aptos" w:cstheme="minorBidi"/>
          <w:color w:val="000000" w:themeColor="text1"/>
          <w:sz w:val="24"/>
          <w:szCs w:val="24"/>
          <w:lang w:val="en-US"/>
        </w:rPr>
        <w:t xml:space="preserve">Mandate the use of the </w:t>
      </w:r>
      <w:r w:rsidRPr="002F541E">
        <w:rPr>
          <w:rFonts w:ascii="Aptos" w:eastAsiaTheme="minorEastAsia" w:hAnsi="Aptos" w:cstheme="minorBidi"/>
          <w:b/>
          <w:bCs/>
          <w:color w:val="000000" w:themeColor="text1"/>
          <w:sz w:val="24"/>
          <w:szCs w:val="24"/>
          <w:lang w:val="en-US"/>
        </w:rPr>
        <w:t>$300 Pre-Application Report</w:t>
      </w:r>
      <w:r w:rsidRPr="002F541E">
        <w:rPr>
          <w:rFonts w:ascii="Aptos" w:eastAsiaTheme="minorEastAsia" w:hAnsi="Aptos" w:cstheme="minorBidi"/>
          <w:color w:val="000000" w:themeColor="text1"/>
          <w:sz w:val="24"/>
          <w:szCs w:val="24"/>
          <w:lang w:val="en-US"/>
        </w:rPr>
        <w:t xml:space="preserve"> as the first step for evaluating any potential project site to de-risk interconnection. </w:t>
      </w:r>
    </w:p>
    <w:p w14:paraId="2FD32C7C" w14:textId="77777777" w:rsidR="00060DB5" w:rsidRPr="002F541E" w:rsidRDefault="00060DB5" w:rsidP="00060DB5">
      <w:pPr>
        <w:numPr>
          <w:ilvl w:val="0"/>
          <w:numId w:val="16"/>
        </w:numPr>
        <w:tabs>
          <w:tab w:val="clear" w:pos="720"/>
          <w:tab w:val="num" w:pos="1080"/>
        </w:tabs>
        <w:ind w:left="1080"/>
        <w:rPr>
          <w:rFonts w:ascii="Aptos" w:eastAsiaTheme="minorEastAsia" w:hAnsi="Aptos" w:cstheme="minorBidi"/>
          <w:color w:val="000000" w:themeColor="text1"/>
          <w:sz w:val="24"/>
          <w:szCs w:val="24"/>
          <w:lang w:val="en-US"/>
        </w:rPr>
      </w:pPr>
      <w:r w:rsidRPr="002F541E">
        <w:rPr>
          <w:rFonts w:ascii="Aptos" w:eastAsiaTheme="minorEastAsia" w:hAnsi="Aptos" w:cstheme="minorBidi"/>
          <w:color w:val="000000" w:themeColor="text1"/>
          <w:sz w:val="24"/>
          <w:szCs w:val="24"/>
          <w:lang w:val="en-US"/>
        </w:rPr>
        <w:t xml:space="preserve">For any large Tribal facility (e.g., casino, clinic, administrative building) on the Cp-U rate, focus exclusively on </w:t>
      </w:r>
      <w:r w:rsidRPr="002F541E">
        <w:rPr>
          <w:rFonts w:ascii="Aptos" w:eastAsiaTheme="minorEastAsia" w:hAnsi="Aptos" w:cstheme="minorBidi"/>
          <w:b/>
          <w:bCs/>
          <w:color w:val="000000" w:themeColor="text1"/>
          <w:sz w:val="24"/>
          <w:szCs w:val="24"/>
          <w:lang w:val="en-US"/>
        </w:rPr>
        <w:t>solar-</w:t>
      </w:r>
      <w:bookmarkStart w:id="1" w:name="_Int_vo8QFKMM"/>
      <w:r w:rsidRPr="002F541E">
        <w:rPr>
          <w:rFonts w:ascii="Aptos" w:eastAsiaTheme="minorEastAsia" w:hAnsi="Aptos" w:cstheme="minorBidi"/>
          <w:b/>
          <w:bCs/>
          <w:color w:val="000000" w:themeColor="text1"/>
          <w:sz w:val="24"/>
          <w:szCs w:val="24"/>
          <w:lang w:val="en-US"/>
        </w:rPr>
        <w:t>plus-storage</w:t>
      </w:r>
      <w:bookmarkEnd w:id="1"/>
      <w:r w:rsidRPr="002F541E">
        <w:rPr>
          <w:rFonts w:ascii="Aptos" w:eastAsiaTheme="minorEastAsia" w:hAnsi="Aptos" w:cstheme="minorBidi"/>
          <w:b/>
          <w:bCs/>
          <w:color w:val="000000" w:themeColor="text1"/>
          <w:sz w:val="24"/>
          <w:szCs w:val="24"/>
          <w:lang w:val="en-US"/>
        </w:rPr>
        <w:t xml:space="preserve"> projects</w:t>
      </w:r>
      <w:r w:rsidRPr="002F541E">
        <w:rPr>
          <w:rFonts w:ascii="Aptos" w:eastAsiaTheme="minorEastAsia" w:hAnsi="Aptos" w:cstheme="minorBidi"/>
          <w:color w:val="000000" w:themeColor="text1"/>
          <w:sz w:val="24"/>
          <w:szCs w:val="24"/>
          <w:lang w:val="en-US"/>
        </w:rPr>
        <w:t>. The financial risk of the demand charge ratchet makes solar-only systems untenable. </w:t>
      </w:r>
    </w:p>
    <w:p w14:paraId="535E4B7D" w14:textId="77777777" w:rsidR="00060DB5" w:rsidRPr="002F541E" w:rsidRDefault="00060DB5" w:rsidP="00060DB5">
      <w:pPr>
        <w:numPr>
          <w:ilvl w:val="0"/>
          <w:numId w:val="17"/>
        </w:numPr>
        <w:tabs>
          <w:tab w:val="clear" w:pos="720"/>
          <w:tab w:val="num" w:pos="1080"/>
        </w:tabs>
        <w:ind w:left="1080"/>
        <w:rPr>
          <w:rFonts w:ascii="Aptos" w:eastAsiaTheme="minorEastAsia" w:hAnsi="Aptos" w:cstheme="minorBidi"/>
          <w:color w:val="000000" w:themeColor="text1"/>
          <w:sz w:val="24"/>
          <w:szCs w:val="24"/>
          <w:lang w:val="en-US"/>
        </w:rPr>
      </w:pPr>
      <w:r w:rsidRPr="002F541E">
        <w:rPr>
          <w:rFonts w:ascii="Aptos" w:eastAsiaTheme="minorEastAsia" w:hAnsi="Aptos" w:cstheme="minorBidi"/>
          <w:color w:val="000000" w:themeColor="text1"/>
          <w:sz w:val="24"/>
          <w:szCs w:val="24"/>
          <w:lang w:val="en-US"/>
        </w:rPr>
        <w:t xml:space="preserve">Design all projects to </w:t>
      </w:r>
      <w:r w:rsidRPr="002F541E">
        <w:rPr>
          <w:rFonts w:ascii="Aptos" w:eastAsiaTheme="minorEastAsia" w:hAnsi="Aptos" w:cstheme="minorBidi"/>
          <w:b/>
          <w:bCs/>
          <w:color w:val="000000" w:themeColor="text1"/>
          <w:sz w:val="24"/>
          <w:szCs w:val="24"/>
          <w:lang w:val="en-US"/>
        </w:rPr>
        <w:t>maximize on-site consumption</w:t>
      </w:r>
      <w:r w:rsidRPr="002F541E">
        <w:rPr>
          <w:rFonts w:ascii="Aptos" w:eastAsiaTheme="minorEastAsia" w:hAnsi="Aptos" w:cstheme="minorBidi"/>
          <w:color w:val="000000" w:themeColor="text1"/>
          <w:sz w:val="24"/>
          <w:szCs w:val="24"/>
          <w:lang w:val="en-US"/>
        </w:rPr>
        <w:t xml:space="preserve"> of generated power to capture its full retail value, as the credit for exported power under the DG Rider is significantly lower. </w:t>
      </w:r>
    </w:p>
    <w:p w14:paraId="76019EEC" w14:textId="0317E2D8" w:rsidR="00060DB5" w:rsidRPr="002F541E" w:rsidRDefault="00060DB5" w:rsidP="002F541E">
      <w:pPr>
        <w:numPr>
          <w:ilvl w:val="0"/>
          <w:numId w:val="18"/>
        </w:numPr>
        <w:tabs>
          <w:tab w:val="clear" w:pos="720"/>
          <w:tab w:val="num" w:pos="1080"/>
        </w:tabs>
        <w:ind w:left="1080"/>
        <w:rPr>
          <w:rFonts w:ascii="Aptos" w:eastAsiaTheme="minorEastAsia" w:hAnsi="Aptos" w:cstheme="minorBidi"/>
          <w:color w:val="000000" w:themeColor="text1"/>
          <w:sz w:val="24"/>
          <w:szCs w:val="24"/>
          <w:lang w:val="en-US"/>
        </w:rPr>
      </w:pPr>
      <w:r w:rsidRPr="002F541E">
        <w:rPr>
          <w:rFonts w:ascii="Aptos" w:eastAsiaTheme="minorEastAsia" w:hAnsi="Aptos" w:cstheme="minorBidi"/>
          <w:color w:val="000000" w:themeColor="text1"/>
          <w:sz w:val="24"/>
          <w:szCs w:val="24"/>
          <w:lang w:val="en-US"/>
        </w:rPr>
        <w:t xml:space="preserve">IOUs like the Upper Peninsula Power Company (UPPCO), should consult and work with Tribes to </w:t>
      </w:r>
      <w:r w:rsidRPr="002F541E">
        <w:rPr>
          <w:rFonts w:ascii="Aptos" w:eastAsiaTheme="minorEastAsia" w:hAnsi="Aptos" w:cstheme="minorBidi"/>
          <w:b/>
          <w:bCs/>
          <w:color w:val="000000" w:themeColor="text1"/>
          <w:sz w:val="24"/>
          <w:szCs w:val="24"/>
          <w:lang w:val="en-US"/>
        </w:rPr>
        <w:t>improve existing programs like UPPCO’s Green Program</w:t>
      </w:r>
      <w:r w:rsidRPr="002F541E">
        <w:rPr>
          <w:rFonts w:ascii="Aptos" w:eastAsiaTheme="minorEastAsia" w:hAnsi="Aptos" w:cstheme="minorBidi"/>
          <w:color w:val="000000" w:themeColor="text1"/>
          <w:sz w:val="24"/>
          <w:szCs w:val="24"/>
          <w:lang w:val="en-US"/>
        </w:rPr>
        <w:t>. MTERA recommends that Tribes not participate in the UPPCO Green program as the funds are currently spent on existing hydroelectric power, which drives no new renewable development, should be reallocated to energy efficiency initiatives or saved for direct investment in Tribal-owned energy projects. </w:t>
      </w:r>
    </w:p>
    <w:p w14:paraId="00000058" w14:textId="77777777" w:rsidR="00CC7DD5" w:rsidRPr="00E2038E" w:rsidRDefault="0090603B">
      <w:pPr>
        <w:spacing w:before="240" w:after="240"/>
        <w:rPr>
          <w:rFonts w:ascii="Aptos" w:hAnsi="Aptos"/>
          <w:sz w:val="24"/>
          <w:szCs w:val="24"/>
        </w:rPr>
      </w:pPr>
      <w:r w:rsidRPr="00E2038E">
        <w:rPr>
          <w:rFonts w:ascii="Aptos" w:hAnsi="Aptos"/>
          <w:sz w:val="24"/>
          <w:szCs w:val="24"/>
        </w:rPr>
        <w:t>We urge the Commission to adopt these recommendations to ensure the IRP and Clean Energy Plan processes equitably consider Tribal priorities, respect Tribal sovereignty, and promote clean energy access for all.</w:t>
      </w:r>
    </w:p>
    <w:p w14:paraId="00000059" w14:textId="77777777" w:rsidR="00CC7DD5" w:rsidRPr="00E2038E" w:rsidRDefault="0090603B">
      <w:pPr>
        <w:spacing w:before="240" w:after="240"/>
        <w:rPr>
          <w:rFonts w:ascii="Aptos" w:hAnsi="Aptos"/>
          <w:sz w:val="24"/>
          <w:szCs w:val="24"/>
        </w:rPr>
      </w:pPr>
      <w:r w:rsidRPr="00E2038E">
        <w:rPr>
          <w:rFonts w:ascii="Aptos" w:hAnsi="Aptos"/>
          <w:sz w:val="24"/>
          <w:szCs w:val="24"/>
          <w:lang w:val="en-US"/>
        </w:rPr>
        <w:t>We thank the commission for the opportunity to submit these comments.</w:t>
      </w:r>
    </w:p>
    <w:p w14:paraId="0000005A" w14:textId="77777777" w:rsidR="00CC7DD5" w:rsidRPr="00E2038E" w:rsidRDefault="0090603B">
      <w:pPr>
        <w:spacing w:before="240" w:after="240"/>
        <w:rPr>
          <w:rFonts w:ascii="Aptos" w:hAnsi="Aptos"/>
          <w:sz w:val="24"/>
          <w:szCs w:val="24"/>
        </w:rPr>
      </w:pPr>
      <w:r w:rsidRPr="00E2038E">
        <w:rPr>
          <w:rFonts w:ascii="Aptos" w:hAnsi="Aptos"/>
          <w:sz w:val="24"/>
          <w:szCs w:val="24"/>
        </w:rPr>
        <w:t>Respectfully,</w:t>
      </w:r>
    </w:p>
    <w:p w14:paraId="0000005B" w14:textId="77777777" w:rsidR="00CC7DD5" w:rsidRPr="00E2038E" w:rsidRDefault="0090603B" w:rsidP="783E3883">
      <w:pPr>
        <w:spacing w:before="240" w:after="240"/>
        <w:rPr>
          <w:rFonts w:ascii="Aptos" w:hAnsi="Aptos"/>
          <w:sz w:val="24"/>
          <w:szCs w:val="24"/>
          <w:highlight w:val="yellow"/>
        </w:rPr>
      </w:pPr>
      <w:r w:rsidRPr="783E3883">
        <w:rPr>
          <w:rFonts w:ascii="Aptos" w:hAnsi="Aptos"/>
          <w:b/>
          <w:bCs/>
          <w:sz w:val="24"/>
          <w:szCs w:val="24"/>
          <w:highlight w:val="yellow"/>
        </w:rPr>
        <w:t>[Your Name]</w:t>
      </w:r>
      <w:r>
        <w:br/>
      </w:r>
      <w:r w:rsidRPr="783E3883">
        <w:rPr>
          <w:rFonts w:ascii="Aptos" w:hAnsi="Aptos"/>
          <w:sz w:val="24"/>
          <w:szCs w:val="24"/>
          <w:highlight w:val="yellow"/>
        </w:rPr>
        <w:t>[Your Title]</w:t>
      </w:r>
      <w:r>
        <w:br/>
      </w:r>
      <w:r w:rsidRPr="783E3883">
        <w:rPr>
          <w:rFonts w:ascii="Aptos" w:hAnsi="Aptos"/>
          <w:sz w:val="24"/>
          <w:szCs w:val="24"/>
          <w:highlight w:val="yellow"/>
        </w:rPr>
        <w:t>[Your Tribe’s Name]</w:t>
      </w:r>
    </w:p>
    <w:p w14:paraId="0000005C" w14:textId="77777777" w:rsidR="00CC7DD5" w:rsidRPr="00E2038E" w:rsidRDefault="0090603B" w:rsidP="783E3883">
      <w:pPr>
        <w:spacing w:before="240" w:after="240"/>
        <w:rPr>
          <w:rFonts w:ascii="Aptos" w:hAnsi="Aptos"/>
          <w:sz w:val="24"/>
          <w:szCs w:val="24"/>
          <w:highlight w:val="yellow"/>
        </w:rPr>
      </w:pPr>
      <w:r w:rsidRPr="783E3883">
        <w:rPr>
          <w:rFonts w:ascii="Aptos" w:hAnsi="Aptos"/>
          <w:sz w:val="24"/>
          <w:szCs w:val="24"/>
          <w:highlight w:val="yellow"/>
        </w:rPr>
        <w:t>[Your contact information (email and/or phone]</w:t>
      </w:r>
    </w:p>
    <w:p w14:paraId="0000005D" w14:textId="77777777" w:rsidR="00CC7DD5" w:rsidRPr="00E2038E" w:rsidRDefault="00CC7DD5">
      <w:pPr>
        <w:rPr>
          <w:rFonts w:ascii="Aptos" w:hAnsi="Aptos"/>
          <w:sz w:val="24"/>
          <w:szCs w:val="24"/>
        </w:rPr>
      </w:pPr>
    </w:p>
    <w:p w14:paraId="281556B8" w14:textId="77777777" w:rsidR="00E2038E" w:rsidRPr="00E2038E" w:rsidRDefault="00E2038E">
      <w:pPr>
        <w:rPr>
          <w:rFonts w:ascii="Aptos" w:hAnsi="Aptos"/>
          <w:sz w:val="24"/>
          <w:szCs w:val="24"/>
        </w:rPr>
      </w:pPr>
    </w:p>
    <w:sectPr w:rsidR="00E2038E" w:rsidRPr="00E2038E">
      <w:headerReference w:type="default"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C7A44" w14:textId="77777777" w:rsidR="006F1EBE" w:rsidRDefault="006F1EBE">
      <w:pPr>
        <w:spacing w:line="240" w:lineRule="auto"/>
      </w:pPr>
      <w:r>
        <w:separator/>
      </w:r>
    </w:p>
  </w:endnote>
  <w:endnote w:type="continuationSeparator" w:id="0">
    <w:p w14:paraId="32CA8A4C" w14:textId="77777777" w:rsidR="006F1EBE" w:rsidRDefault="006F1E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83E3883" w14:paraId="33240385" w14:textId="77777777" w:rsidTr="783E3883">
      <w:trPr>
        <w:trHeight w:val="300"/>
      </w:trPr>
      <w:tc>
        <w:tcPr>
          <w:tcW w:w="3120" w:type="dxa"/>
        </w:tcPr>
        <w:p w14:paraId="55F5FDEE" w14:textId="29E83C9F" w:rsidR="783E3883" w:rsidRDefault="783E3883" w:rsidP="783E3883">
          <w:pPr>
            <w:pStyle w:val="Header"/>
            <w:ind w:left="-115"/>
          </w:pPr>
        </w:p>
      </w:tc>
      <w:tc>
        <w:tcPr>
          <w:tcW w:w="3120" w:type="dxa"/>
        </w:tcPr>
        <w:p w14:paraId="4D863C5A" w14:textId="3DE46B72" w:rsidR="783E3883" w:rsidRDefault="783E3883" w:rsidP="783E3883">
          <w:pPr>
            <w:pStyle w:val="Header"/>
            <w:jc w:val="center"/>
          </w:pPr>
        </w:p>
      </w:tc>
      <w:tc>
        <w:tcPr>
          <w:tcW w:w="3120" w:type="dxa"/>
        </w:tcPr>
        <w:p w14:paraId="4084512E" w14:textId="29699A68" w:rsidR="783E3883" w:rsidRDefault="783E3883" w:rsidP="783E3883">
          <w:pPr>
            <w:pStyle w:val="Header"/>
            <w:ind w:right="-115"/>
            <w:jc w:val="right"/>
          </w:pPr>
          <w:r>
            <w:fldChar w:fldCharType="begin"/>
          </w:r>
          <w:r>
            <w:instrText>PAGE</w:instrText>
          </w:r>
          <w:r>
            <w:fldChar w:fldCharType="separate"/>
          </w:r>
          <w:r w:rsidR="00116388">
            <w:rPr>
              <w:noProof/>
            </w:rPr>
            <w:t>1</w:t>
          </w:r>
          <w:r>
            <w:fldChar w:fldCharType="end"/>
          </w:r>
        </w:p>
      </w:tc>
    </w:tr>
  </w:tbl>
  <w:p w14:paraId="68998F4A" w14:textId="1F856FB6" w:rsidR="783E3883" w:rsidRDefault="783E3883" w:rsidP="783E3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E1AC5" w14:textId="77777777" w:rsidR="006F1EBE" w:rsidRDefault="006F1EBE">
      <w:pPr>
        <w:spacing w:line="240" w:lineRule="auto"/>
      </w:pPr>
      <w:r>
        <w:separator/>
      </w:r>
    </w:p>
  </w:footnote>
  <w:footnote w:type="continuationSeparator" w:id="0">
    <w:p w14:paraId="61C03867" w14:textId="77777777" w:rsidR="006F1EBE" w:rsidRDefault="006F1E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83E3883" w14:paraId="0A7F7F90" w14:textId="77777777" w:rsidTr="783E3883">
      <w:trPr>
        <w:trHeight w:val="300"/>
      </w:trPr>
      <w:tc>
        <w:tcPr>
          <w:tcW w:w="3120" w:type="dxa"/>
        </w:tcPr>
        <w:p w14:paraId="38E824FF" w14:textId="1D61FB60" w:rsidR="783E3883" w:rsidRDefault="783E3883" w:rsidP="783E3883">
          <w:pPr>
            <w:pStyle w:val="Header"/>
            <w:ind w:left="-115"/>
          </w:pPr>
        </w:p>
      </w:tc>
      <w:tc>
        <w:tcPr>
          <w:tcW w:w="3120" w:type="dxa"/>
        </w:tcPr>
        <w:p w14:paraId="3B3CA0B7" w14:textId="27708DC3" w:rsidR="783E3883" w:rsidRDefault="783E3883" w:rsidP="783E3883">
          <w:pPr>
            <w:pStyle w:val="Header"/>
            <w:jc w:val="center"/>
          </w:pPr>
        </w:p>
      </w:tc>
      <w:tc>
        <w:tcPr>
          <w:tcW w:w="3120" w:type="dxa"/>
        </w:tcPr>
        <w:p w14:paraId="4298EC49" w14:textId="538BA1A0" w:rsidR="783E3883" w:rsidRDefault="783E3883" w:rsidP="783E3883">
          <w:pPr>
            <w:pStyle w:val="Header"/>
            <w:ind w:right="-115"/>
            <w:jc w:val="right"/>
          </w:pPr>
        </w:p>
      </w:tc>
    </w:tr>
  </w:tbl>
  <w:p w14:paraId="63A070B9" w14:textId="61563FDC" w:rsidR="783E3883" w:rsidRDefault="783E3883" w:rsidP="783E388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qbZAeU7I" int2:invalidationBookmarkName="" int2:hashCode="xXXz44PfXIH7BX" int2:id="QgKUtTm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0378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8F3F3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DA7B51"/>
    <w:multiLevelType w:val="multilevel"/>
    <w:tmpl w:val="5D9CA5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8168FB"/>
    <w:multiLevelType w:val="hybridMultilevel"/>
    <w:tmpl w:val="752C9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E712B8"/>
    <w:multiLevelType w:val="hybridMultilevel"/>
    <w:tmpl w:val="A734E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94218"/>
    <w:multiLevelType w:val="multilevel"/>
    <w:tmpl w:val="B1964B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3458BB"/>
    <w:multiLevelType w:val="multilevel"/>
    <w:tmpl w:val="85EE8DCE"/>
    <w:lvl w:ilvl="0">
      <w:start w:val="1"/>
      <w:numFmt w:val="bullet"/>
      <w:lvlText w:val="•"/>
      <w:lvlJc w:val="left"/>
      <w:pPr>
        <w:ind w:left="720" w:hanging="360"/>
      </w:pPr>
      <w:rPr>
        <w:rFonts w:ascii="Arial" w:hAnsi="Aria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BF921F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742E4F"/>
    <w:multiLevelType w:val="hybridMultilevel"/>
    <w:tmpl w:val="209C4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73EFD"/>
    <w:multiLevelType w:val="multilevel"/>
    <w:tmpl w:val="85EE8DCE"/>
    <w:lvl w:ilvl="0">
      <w:start w:val="1"/>
      <w:numFmt w:val="bullet"/>
      <w:lvlText w:val="•"/>
      <w:lvlJc w:val="left"/>
      <w:pPr>
        <w:ind w:left="720" w:hanging="360"/>
      </w:pPr>
      <w:rPr>
        <w:rFonts w:ascii="Arial" w:hAnsi="Aria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46F50E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831A791"/>
    <w:multiLevelType w:val="multilevel"/>
    <w:tmpl w:val="70A4A3A8"/>
    <w:lvl w:ilvl="0">
      <w:start w:val="2"/>
      <w:numFmt w:val="decimal"/>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E44922"/>
    <w:multiLevelType w:val="multilevel"/>
    <w:tmpl w:val="D9E4B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DD7A9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4840D54"/>
    <w:multiLevelType w:val="multilevel"/>
    <w:tmpl w:val="0A7A5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CC85A7"/>
    <w:multiLevelType w:val="multilevel"/>
    <w:tmpl w:val="ED3A7A7E"/>
    <w:lvl w:ilvl="0">
      <w:start w:val="1"/>
      <w:numFmt w:val="decimal"/>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CC87D5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BE00B9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55537133">
    <w:abstractNumId w:val="11"/>
  </w:num>
  <w:num w:numId="2" w16cid:durableId="890963360">
    <w:abstractNumId w:val="15"/>
  </w:num>
  <w:num w:numId="3" w16cid:durableId="320355202">
    <w:abstractNumId w:val="13"/>
  </w:num>
  <w:num w:numId="4" w16cid:durableId="1372536034">
    <w:abstractNumId w:val="7"/>
  </w:num>
  <w:num w:numId="5" w16cid:durableId="101536519">
    <w:abstractNumId w:val="10"/>
  </w:num>
  <w:num w:numId="6" w16cid:durableId="78598504">
    <w:abstractNumId w:val="0"/>
  </w:num>
  <w:num w:numId="7" w16cid:durableId="276184408">
    <w:abstractNumId w:val="16"/>
  </w:num>
  <w:num w:numId="8" w16cid:durableId="1118573960">
    <w:abstractNumId w:val="17"/>
  </w:num>
  <w:num w:numId="9" w16cid:durableId="2125343476">
    <w:abstractNumId w:val="1"/>
  </w:num>
  <w:num w:numId="10" w16cid:durableId="1983385025">
    <w:abstractNumId w:val="9"/>
  </w:num>
  <w:num w:numId="11" w16cid:durableId="16007883">
    <w:abstractNumId w:val="3"/>
  </w:num>
  <w:num w:numId="12" w16cid:durableId="386686709">
    <w:abstractNumId w:val="4"/>
  </w:num>
  <w:num w:numId="13" w16cid:durableId="2068802338">
    <w:abstractNumId w:val="8"/>
  </w:num>
  <w:num w:numId="14" w16cid:durableId="1616325208">
    <w:abstractNumId w:val="6"/>
  </w:num>
  <w:num w:numId="15" w16cid:durableId="194195340">
    <w:abstractNumId w:val="14"/>
  </w:num>
  <w:num w:numId="16" w16cid:durableId="1849785686">
    <w:abstractNumId w:val="12"/>
  </w:num>
  <w:num w:numId="17" w16cid:durableId="281545271">
    <w:abstractNumId w:val="5"/>
  </w:num>
  <w:num w:numId="18" w16cid:durableId="1631200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DD5"/>
    <w:rsid w:val="00010044"/>
    <w:rsid w:val="00050174"/>
    <w:rsid w:val="00060DB5"/>
    <w:rsid w:val="00116388"/>
    <w:rsid w:val="002F541E"/>
    <w:rsid w:val="003E30AB"/>
    <w:rsid w:val="004C789B"/>
    <w:rsid w:val="005F54E3"/>
    <w:rsid w:val="006F1EBE"/>
    <w:rsid w:val="00756097"/>
    <w:rsid w:val="008A2551"/>
    <w:rsid w:val="0090603B"/>
    <w:rsid w:val="00AF22FA"/>
    <w:rsid w:val="00CC7DD5"/>
    <w:rsid w:val="00E2038E"/>
    <w:rsid w:val="0313DDE4"/>
    <w:rsid w:val="046E824B"/>
    <w:rsid w:val="04ED16A6"/>
    <w:rsid w:val="08C88291"/>
    <w:rsid w:val="0B9DFCCF"/>
    <w:rsid w:val="1316DAA9"/>
    <w:rsid w:val="1608B503"/>
    <w:rsid w:val="18B7123B"/>
    <w:rsid w:val="204787BD"/>
    <w:rsid w:val="21F88FDE"/>
    <w:rsid w:val="253688E0"/>
    <w:rsid w:val="27AD17FC"/>
    <w:rsid w:val="36AFACC4"/>
    <w:rsid w:val="37280EAD"/>
    <w:rsid w:val="3AADEABE"/>
    <w:rsid w:val="3B69DA01"/>
    <w:rsid w:val="3BC73036"/>
    <w:rsid w:val="3DDE3A28"/>
    <w:rsid w:val="3DF6125C"/>
    <w:rsid w:val="3E7E39A9"/>
    <w:rsid w:val="413863E3"/>
    <w:rsid w:val="451C5C82"/>
    <w:rsid w:val="4800A47F"/>
    <w:rsid w:val="480FA40A"/>
    <w:rsid w:val="4B2C80A5"/>
    <w:rsid w:val="4DA3A4C1"/>
    <w:rsid w:val="50928AC3"/>
    <w:rsid w:val="51CD6351"/>
    <w:rsid w:val="596C9D3B"/>
    <w:rsid w:val="59AF4BD8"/>
    <w:rsid w:val="5A88505D"/>
    <w:rsid w:val="65F174CB"/>
    <w:rsid w:val="6BD3B13B"/>
    <w:rsid w:val="6F73C68F"/>
    <w:rsid w:val="756F886F"/>
    <w:rsid w:val="783E3883"/>
    <w:rsid w:val="7C09EF03"/>
    <w:rsid w:val="7C2A9C49"/>
    <w:rsid w:val="7CF3DB64"/>
    <w:rsid w:val="7E43677E"/>
    <w:rsid w:val="7FE6D3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09470"/>
  <w15:docId w15:val="{BB00ED4D-CE18-4B9A-B98F-DB43FADE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E2038E"/>
    <w:pPr>
      <w:ind w:left="720"/>
      <w:contextualSpacing/>
    </w:pPr>
  </w:style>
  <w:style w:type="character" w:styleId="Hyperlink">
    <w:name w:val="Hyperlink"/>
    <w:basedOn w:val="DefaultParagraphFont"/>
    <w:uiPriority w:val="99"/>
    <w:unhideWhenUsed/>
    <w:rsid w:val="783E3883"/>
    <w:rPr>
      <w:color w:val="0000FF"/>
      <w:u w:val="single"/>
    </w:rPr>
  </w:style>
  <w:style w:type="paragraph" w:styleId="Header">
    <w:name w:val="header"/>
    <w:basedOn w:val="Normal"/>
    <w:uiPriority w:val="99"/>
    <w:unhideWhenUsed/>
    <w:rsid w:val="783E3883"/>
    <w:pPr>
      <w:tabs>
        <w:tab w:val="center" w:pos="4680"/>
        <w:tab w:val="right" w:pos="9360"/>
      </w:tabs>
      <w:spacing w:line="240" w:lineRule="auto"/>
    </w:pPr>
  </w:style>
  <w:style w:type="paragraph" w:styleId="Footer">
    <w:name w:val="footer"/>
    <w:basedOn w:val="Normal"/>
    <w:uiPriority w:val="99"/>
    <w:unhideWhenUsed/>
    <w:rsid w:val="783E3883"/>
    <w:pPr>
      <w:tabs>
        <w:tab w:val="center" w:pos="4680"/>
        <w:tab w:val="right" w:pos="9360"/>
      </w:tabs>
      <w:spacing w:line="240" w:lineRule="auto"/>
    </w:p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8A2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aseyabek.com/wp-content/uploads/2025/08/2024_NG_TEIS-DIGITAL-FINAL.pdf"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RA-MPSC-Edockets@michigan.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LARA-MPSC-Edockets@michigan.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6a6bb15-c3a2-4f66-a574-efa696ab9e1f" xsi:nil="true"/>
    <lcf76f155ced4ddcb4097134ff3c332f xmlns="001b2f21-4177-4f0c-8657-f81a0d5ebd7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2899F636F984419293E435DE30EA85" ma:contentTypeVersion="13" ma:contentTypeDescription="Create a new document." ma:contentTypeScope="" ma:versionID="cc9ba99c98c1d6565e958f6acda78645">
  <xsd:schema xmlns:xsd="http://www.w3.org/2001/XMLSchema" xmlns:xs="http://www.w3.org/2001/XMLSchema" xmlns:p="http://schemas.microsoft.com/office/2006/metadata/properties" xmlns:ns2="001b2f21-4177-4f0c-8657-f81a0d5ebd72" xmlns:ns3="16a6bb15-c3a2-4f66-a574-efa696ab9e1f" targetNamespace="http://schemas.microsoft.com/office/2006/metadata/properties" ma:root="true" ma:fieldsID="d7819eaf3a14a36b1568f6dfbbcb4080" ns2:_="" ns3:_="">
    <xsd:import namespace="001b2f21-4177-4f0c-8657-f81a0d5ebd72"/>
    <xsd:import namespace="16a6bb15-c3a2-4f66-a574-efa696ab9e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b2f21-4177-4f0c-8657-f81a0d5eb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0977537-4ead-4edc-8f24-666a4a90a72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a6bb15-c3a2-4f66-a574-efa696ab9e1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3e42add-abdb-413c-b5e4-ca0141546e6e}" ma:internalName="TaxCatchAll" ma:showField="CatchAllData" ma:web="16a6bb15-c3a2-4f66-a574-efa696ab9e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04A0FF-481F-43CE-B50C-DDF703339CCB}">
  <ds:schemaRefs>
    <ds:schemaRef ds:uri="http://schemas.microsoft.com/sharepoint/v3/contenttype/forms"/>
  </ds:schemaRefs>
</ds:datastoreItem>
</file>

<file path=customXml/itemProps2.xml><?xml version="1.0" encoding="utf-8"?>
<ds:datastoreItem xmlns:ds="http://schemas.openxmlformats.org/officeDocument/2006/customXml" ds:itemID="{9F823335-8505-4670-9B88-5DB05661220B}">
  <ds:schemaRefs>
    <ds:schemaRef ds:uri="http://schemas.microsoft.com/office/2006/metadata/properties"/>
    <ds:schemaRef ds:uri="http://schemas.microsoft.com/office/infopath/2007/PartnerControls"/>
    <ds:schemaRef ds:uri="16a6bb15-c3a2-4f66-a574-efa696ab9e1f"/>
    <ds:schemaRef ds:uri="001b2f21-4177-4f0c-8657-f81a0d5ebd72"/>
  </ds:schemaRefs>
</ds:datastoreItem>
</file>

<file path=customXml/itemProps3.xml><?xml version="1.0" encoding="utf-8"?>
<ds:datastoreItem xmlns:ds="http://schemas.openxmlformats.org/officeDocument/2006/customXml" ds:itemID="{0A280010-5325-49AA-BB09-B651F22F5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b2f21-4177-4f0c-8657-f81a0d5ebd72"/>
    <ds:schemaRef ds:uri="16a6bb15-c3a2-4f66-a574-efa696ab9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1612</Words>
  <Characters>9193</Characters>
  <Application>Microsoft Office Word</Application>
  <DocSecurity>0</DocSecurity>
  <Lines>76</Lines>
  <Paragraphs>21</Paragraphs>
  <ScaleCrop>false</ScaleCrop>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Bessler</cp:lastModifiedBy>
  <cp:revision>11</cp:revision>
  <dcterms:created xsi:type="dcterms:W3CDTF">2025-10-24T00:13:00Z</dcterms:created>
  <dcterms:modified xsi:type="dcterms:W3CDTF">2025-10-24T14:47:00Z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29100</vt:r8>
  </property>
  <property fmtid="{D5CDD505-2E9C-101B-9397-08002B2CF9AE}" pid="3" name="ContentTypeId">
    <vt:lpwstr>0x0101009D2899F636F984419293E435DE30EA85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